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B3A8" w14:textId="4100D8E7" w:rsidR="000C0969" w:rsidRPr="00CE0914" w:rsidRDefault="000C0969" w:rsidP="00467D71">
      <w:pPr>
        <w:shd w:val="clear" w:color="auto" w:fill="FFFFFF"/>
        <w:spacing w:after="120" w:line="480" w:lineRule="auto"/>
        <w:ind w:left="45"/>
        <w:jc w:val="center"/>
        <w:rPr>
          <w:rFonts w:ascii="Times New Roman" w:eastAsia="Times New Roman" w:hAnsi="Times New Roman" w:cs="Times New Roman"/>
          <w:b/>
          <w:bCs/>
          <w:color w:val="000000"/>
          <w:sz w:val="24"/>
          <w:szCs w:val="24"/>
          <w:u w:val="single"/>
          <w:lang w:val="en" w:eastAsia="en-GB"/>
        </w:rPr>
      </w:pPr>
      <w:r w:rsidRPr="00CE0914">
        <w:rPr>
          <w:rFonts w:ascii="Times New Roman" w:eastAsia="Times New Roman" w:hAnsi="Times New Roman" w:cs="Times New Roman"/>
          <w:b/>
          <w:bCs/>
          <w:color w:val="000000"/>
          <w:sz w:val="24"/>
          <w:szCs w:val="24"/>
          <w:u w:val="single"/>
          <w:lang w:val="en" w:eastAsia="en-GB"/>
        </w:rPr>
        <w:t>DIFFICULT ISSUES IN R</w:t>
      </w:r>
      <w:r w:rsidR="00CE0914" w:rsidRPr="00CE0914">
        <w:rPr>
          <w:rFonts w:ascii="Times New Roman" w:eastAsia="Times New Roman" w:hAnsi="Times New Roman" w:cs="Times New Roman"/>
          <w:b/>
          <w:bCs/>
          <w:color w:val="000000"/>
          <w:sz w:val="24"/>
          <w:szCs w:val="24"/>
          <w:u w:val="single"/>
          <w:lang w:val="en" w:eastAsia="en-GB"/>
        </w:rPr>
        <w:t>E</w:t>
      </w:r>
      <w:r w:rsidRPr="00CE0914">
        <w:rPr>
          <w:rFonts w:ascii="Times New Roman" w:eastAsia="Times New Roman" w:hAnsi="Times New Roman" w:cs="Times New Roman"/>
          <w:b/>
          <w:bCs/>
          <w:color w:val="000000"/>
          <w:sz w:val="24"/>
          <w:szCs w:val="24"/>
          <w:u w:val="single"/>
          <w:lang w:val="en" w:eastAsia="en-GB"/>
        </w:rPr>
        <w:t>LATION TO THE CONSTRUCTION OF WILLS</w:t>
      </w:r>
    </w:p>
    <w:p w14:paraId="65FFCF67" w14:textId="438EB43E" w:rsidR="000C0969" w:rsidRDefault="000C0969" w:rsidP="00467D71">
      <w:pPr>
        <w:shd w:val="clear" w:color="auto" w:fill="FFFFFF"/>
        <w:spacing w:after="120" w:line="480" w:lineRule="auto"/>
        <w:ind w:left="45"/>
        <w:jc w:val="both"/>
        <w:rPr>
          <w:rFonts w:ascii="Times New Roman" w:eastAsia="Times New Roman" w:hAnsi="Times New Roman" w:cs="Times New Roman"/>
          <w:color w:val="000000"/>
          <w:sz w:val="24"/>
          <w:szCs w:val="24"/>
          <w:lang w:val="en" w:eastAsia="en-GB"/>
        </w:rPr>
      </w:pPr>
    </w:p>
    <w:p w14:paraId="149DF117" w14:textId="18BB5EA3" w:rsidR="00991950" w:rsidRDefault="000C0969" w:rsidP="00467D71">
      <w:pPr>
        <w:shd w:val="clear" w:color="auto" w:fill="FFFFFF"/>
        <w:spacing w:after="120" w:line="480" w:lineRule="auto"/>
        <w:ind w:left="45"/>
        <w:jc w:val="both"/>
        <w:rPr>
          <w:rFonts w:ascii="Times New Roman" w:eastAsia="Times New Roman" w:hAnsi="Times New Roman" w:cs="Times New Roman"/>
          <w:color w:val="000000"/>
          <w:sz w:val="24"/>
          <w:szCs w:val="24"/>
          <w:lang w:val="en" w:eastAsia="en-GB"/>
        </w:rPr>
      </w:pPr>
      <w:r>
        <w:rPr>
          <w:rFonts w:ascii="Times New Roman" w:eastAsia="Times New Roman" w:hAnsi="Times New Roman" w:cs="Times New Roman"/>
          <w:color w:val="000000"/>
          <w:sz w:val="24"/>
          <w:szCs w:val="24"/>
          <w:lang w:val="en" w:eastAsia="en-GB"/>
        </w:rPr>
        <w:t xml:space="preserve">We are all aware of the extraordinary facts which arose in the case of </w:t>
      </w:r>
      <w:r w:rsidRPr="004A70DF">
        <w:rPr>
          <w:rFonts w:ascii="Times New Roman" w:eastAsia="Times New Roman" w:hAnsi="Times New Roman" w:cs="Times New Roman"/>
          <w:b/>
          <w:bCs/>
          <w:color w:val="000000"/>
          <w:sz w:val="24"/>
          <w:szCs w:val="24"/>
          <w:lang w:val="en" w:eastAsia="en-GB"/>
        </w:rPr>
        <w:t>Marley v Rawlings</w:t>
      </w:r>
      <w:r>
        <w:rPr>
          <w:rFonts w:ascii="Times New Roman" w:eastAsia="Times New Roman" w:hAnsi="Times New Roman" w:cs="Times New Roman"/>
          <w:color w:val="000000"/>
          <w:sz w:val="24"/>
          <w:szCs w:val="24"/>
          <w:lang w:val="en" w:eastAsia="en-GB"/>
        </w:rPr>
        <w:t xml:space="preserve"> [2014] UKSC 2.  A husband and wife gave instructions for mirror image wills under which each left his or her estate to the other and the survivor left his estate to the appellant. Unfortunately by mistake the solicitor who drafted the wills gave each the wrong one to sign so that the husband signed the one intended for the wife and vice versa. The wife died first and the error was not noticed.  The husband took her estate.  On the later death of the husband the error was picked up and the respondents who would take his estate on intestacy challenged the admission of the will to probate.  The appellant argued that the will should be rectified or it should be construed so as to validate it.  At first instance and in the Court of Appeal the respondents were successful on the basis that only a valid will could be rectified.  This will was not valid as it was not executed in accordance with section 9 of the wills Act.  A will could not be rectified to make it valid.  The beneficiaries under the intended will appealed to the Supreme Court and succeeded. The Court ordered rectification.  Despite that decision Lord Neuberger  explained that the approach to interpretation of the will now followed  the modern contextual approach to interpretation of contracts as set out in </w:t>
      </w:r>
      <w:r w:rsidRPr="000245B2">
        <w:rPr>
          <w:rFonts w:ascii="Times New Roman" w:eastAsia="Times New Roman" w:hAnsi="Times New Roman" w:cs="Times New Roman"/>
          <w:b/>
          <w:color w:val="000000"/>
          <w:sz w:val="24"/>
          <w:szCs w:val="24"/>
          <w:lang w:val="en" w:eastAsia="en-GB"/>
        </w:rPr>
        <w:t xml:space="preserve">Investors </w:t>
      </w:r>
      <w:r>
        <w:rPr>
          <w:rFonts w:ascii="Times New Roman" w:eastAsia="Times New Roman" w:hAnsi="Times New Roman" w:cs="Times New Roman"/>
          <w:color w:val="000000"/>
          <w:sz w:val="24"/>
          <w:szCs w:val="24"/>
          <w:lang w:val="en" w:eastAsia="en-GB"/>
        </w:rPr>
        <w:t>C</w:t>
      </w:r>
      <w:r w:rsidRPr="00F475FB">
        <w:rPr>
          <w:rFonts w:ascii="Times New Roman" w:eastAsia="Times New Roman" w:hAnsi="Times New Roman" w:cs="Times New Roman"/>
          <w:b/>
          <w:color w:val="000000"/>
          <w:sz w:val="24"/>
          <w:szCs w:val="24"/>
          <w:lang w:val="en" w:eastAsia="en-GB"/>
        </w:rPr>
        <w:t>ompensation Scheme Ltd v West Bromwich Building Society</w:t>
      </w:r>
      <w:r>
        <w:rPr>
          <w:rFonts w:ascii="Times New Roman" w:eastAsia="Times New Roman" w:hAnsi="Times New Roman" w:cs="Times New Roman"/>
          <w:color w:val="000000"/>
          <w:sz w:val="24"/>
          <w:szCs w:val="24"/>
          <w:lang w:val="en" w:eastAsia="en-GB"/>
        </w:rPr>
        <w:t xml:space="preserve"> [1998] 1 WLR 896</w:t>
      </w:r>
      <w:r w:rsidR="00991950">
        <w:rPr>
          <w:rFonts w:ascii="Times New Roman" w:eastAsia="Times New Roman" w:hAnsi="Times New Roman" w:cs="Times New Roman"/>
          <w:color w:val="000000"/>
          <w:sz w:val="24"/>
          <w:szCs w:val="24"/>
          <w:lang w:val="en" w:eastAsia="en-GB"/>
        </w:rPr>
        <w:t xml:space="preserve">. What </w:t>
      </w:r>
      <w:r w:rsidR="00CE0914">
        <w:rPr>
          <w:rFonts w:ascii="Times New Roman" w:eastAsia="Times New Roman" w:hAnsi="Times New Roman" w:cs="Times New Roman"/>
          <w:color w:val="000000"/>
          <w:sz w:val="24"/>
          <w:szCs w:val="24"/>
          <w:lang w:val="en" w:eastAsia="en-GB"/>
        </w:rPr>
        <w:t>L</w:t>
      </w:r>
      <w:r w:rsidR="00991950">
        <w:rPr>
          <w:rFonts w:ascii="Times New Roman" w:eastAsia="Times New Roman" w:hAnsi="Times New Roman" w:cs="Times New Roman"/>
          <w:color w:val="000000"/>
          <w:sz w:val="24"/>
          <w:szCs w:val="24"/>
          <w:lang w:val="en" w:eastAsia="en-GB"/>
        </w:rPr>
        <w:t xml:space="preserve">ord Neuberger said is as follows: </w:t>
      </w:r>
    </w:p>
    <w:p w14:paraId="0AA199C3" w14:textId="77777777" w:rsidR="00CE0914" w:rsidRDefault="00991950" w:rsidP="00467D71">
      <w:pPr>
        <w:shd w:val="clear" w:color="auto" w:fill="FFFFFF"/>
        <w:spacing w:after="120" w:line="480" w:lineRule="auto"/>
        <w:ind w:left="45"/>
        <w:jc w:val="both"/>
        <w:rPr>
          <w:rFonts w:ascii="Times New Roman" w:hAnsi="Times New Roman" w:cs="Times New Roman"/>
          <w:i/>
          <w:iCs/>
          <w:sz w:val="24"/>
          <w:szCs w:val="24"/>
        </w:rPr>
      </w:pPr>
      <w:r w:rsidRPr="00991950">
        <w:rPr>
          <w:rFonts w:ascii="Times New Roman" w:hAnsi="Times New Roman" w:cs="Times New Roman"/>
          <w:i/>
          <w:iCs/>
          <w:sz w:val="24"/>
          <w:szCs w:val="24"/>
        </w:rPr>
        <w:t xml:space="preserve">17. Until relatively recently, there were no statutory provisions relating to the proper approach to the interpretation of wills. The interpretation of wills was a matter for the courts, who, as is so often the way, tended (at least until very recently) to approach the issue detached from, and potentially differently from, the approach adopted to the interpretation of other documents. </w:t>
      </w:r>
    </w:p>
    <w:p w14:paraId="7C94F504" w14:textId="7988A7FD" w:rsidR="00CE0914" w:rsidRDefault="00991950" w:rsidP="00467D71">
      <w:pPr>
        <w:shd w:val="clear" w:color="auto" w:fill="FFFFFF"/>
        <w:spacing w:after="120" w:line="480" w:lineRule="auto"/>
        <w:ind w:left="45"/>
        <w:jc w:val="both"/>
        <w:rPr>
          <w:rFonts w:ascii="Times New Roman" w:hAnsi="Times New Roman" w:cs="Times New Roman"/>
          <w:i/>
          <w:iCs/>
          <w:sz w:val="24"/>
          <w:szCs w:val="24"/>
        </w:rPr>
      </w:pPr>
      <w:r w:rsidRPr="00991950">
        <w:rPr>
          <w:rFonts w:ascii="Times New Roman" w:hAnsi="Times New Roman" w:cs="Times New Roman"/>
          <w:i/>
          <w:iCs/>
          <w:sz w:val="24"/>
          <w:szCs w:val="24"/>
        </w:rPr>
        <w:lastRenderedPageBreak/>
        <w:t xml:space="preserve">18. During the past forty years, the House of Lords and Supreme Court have laid down the correct approach to the interpretation, or construction, of commercial contracts in a number of cases starting with </w:t>
      </w:r>
      <w:proofErr w:type="spellStart"/>
      <w:r w:rsidRPr="00991950">
        <w:rPr>
          <w:rFonts w:ascii="Times New Roman" w:hAnsi="Times New Roman" w:cs="Times New Roman"/>
          <w:i/>
          <w:iCs/>
          <w:sz w:val="24"/>
          <w:szCs w:val="24"/>
        </w:rPr>
        <w:t>Prenn</w:t>
      </w:r>
      <w:proofErr w:type="spellEnd"/>
      <w:r w:rsidRPr="00991950">
        <w:rPr>
          <w:rFonts w:ascii="Times New Roman" w:hAnsi="Times New Roman" w:cs="Times New Roman"/>
          <w:i/>
          <w:iCs/>
          <w:sz w:val="24"/>
          <w:szCs w:val="24"/>
        </w:rPr>
        <w:t xml:space="preserve"> v Simmonds [1971] 1 WLR 1381 and culminating in Rainy Sky SA v </w:t>
      </w:r>
      <w:proofErr w:type="spellStart"/>
      <w:r w:rsidRPr="00991950">
        <w:rPr>
          <w:rFonts w:ascii="Times New Roman" w:hAnsi="Times New Roman" w:cs="Times New Roman"/>
          <w:i/>
          <w:iCs/>
          <w:sz w:val="24"/>
          <w:szCs w:val="24"/>
        </w:rPr>
        <w:t>Kookmin</w:t>
      </w:r>
      <w:proofErr w:type="spellEnd"/>
      <w:r w:rsidRPr="00991950">
        <w:rPr>
          <w:rFonts w:ascii="Times New Roman" w:hAnsi="Times New Roman" w:cs="Times New Roman"/>
          <w:i/>
          <w:iCs/>
          <w:sz w:val="24"/>
          <w:szCs w:val="24"/>
        </w:rPr>
        <w:t xml:space="preserve"> Bank [2011] 1 WLR 2900. </w:t>
      </w:r>
    </w:p>
    <w:p w14:paraId="1E122494" w14:textId="64DFE65A" w:rsidR="00CE0914" w:rsidRDefault="00991950" w:rsidP="00467D71">
      <w:pPr>
        <w:shd w:val="clear" w:color="auto" w:fill="FFFFFF"/>
        <w:spacing w:after="120" w:line="480" w:lineRule="auto"/>
        <w:ind w:left="45"/>
        <w:jc w:val="both"/>
        <w:rPr>
          <w:rFonts w:ascii="Times New Roman" w:hAnsi="Times New Roman" w:cs="Times New Roman"/>
          <w:i/>
          <w:iCs/>
          <w:sz w:val="24"/>
          <w:szCs w:val="24"/>
        </w:rPr>
      </w:pPr>
      <w:r w:rsidRPr="00991950">
        <w:rPr>
          <w:rFonts w:ascii="Times New Roman" w:hAnsi="Times New Roman" w:cs="Times New Roman"/>
          <w:i/>
          <w:iCs/>
          <w:sz w:val="24"/>
          <w:szCs w:val="24"/>
        </w:rPr>
        <w:t>19. When interpreting a contract, the court is concerned to find the intention of the party or parties, and it does this by identifying the meaning of the relevant words, (a) in the light of (</w:t>
      </w:r>
      <w:proofErr w:type="spellStart"/>
      <w:r w:rsidRPr="00991950">
        <w:rPr>
          <w:rFonts w:ascii="Times New Roman" w:hAnsi="Times New Roman" w:cs="Times New Roman"/>
          <w:i/>
          <w:iCs/>
          <w:sz w:val="24"/>
          <w:szCs w:val="24"/>
        </w:rPr>
        <w:t>i</w:t>
      </w:r>
      <w:proofErr w:type="spellEnd"/>
      <w:r w:rsidRPr="00991950">
        <w:rPr>
          <w:rFonts w:ascii="Times New Roman" w:hAnsi="Times New Roman" w:cs="Times New Roman"/>
          <w:i/>
          <w:iCs/>
          <w:sz w:val="24"/>
          <w:szCs w:val="24"/>
        </w:rPr>
        <w:t xml:space="preserve">) the natural and ordinary meaning of those words, (ii) the overall purpose of the document, (iii) any other provisions of the document, (iv) the facts known or assumed by the parties at the time that the document was executed, and (v) common sense, but (b) ignoring subjective evidence of any party’s intentions. In this connection, see </w:t>
      </w:r>
      <w:proofErr w:type="spellStart"/>
      <w:r w:rsidRPr="00991950">
        <w:rPr>
          <w:rFonts w:ascii="Times New Roman" w:hAnsi="Times New Roman" w:cs="Times New Roman"/>
          <w:i/>
          <w:iCs/>
          <w:sz w:val="24"/>
          <w:szCs w:val="24"/>
        </w:rPr>
        <w:t>Prenn</w:t>
      </w:r>
      <w:proofErr w:type="spellEnd"/>
      <w:r w:rsidRPr="00991950">
        <w:rPr>
          <w:rFonts w:ascii="Times New Roman" w:hAnsi="Times New Roman" w:cs="Times New Roman"/>
          <w:i/>
          <w:iCs/>
          <w:sz w:val="24"/>
          <w:szCs w:val="24"/>
        </w:rPr>
        <w:t xml:space="preserve"> at 1384-1386 and Reardon Smith Line Ltd v </w:t>
      </w:r>
      <w:proofErr w:type="spellStart"/>
      <w:r w:rsidRPr="00991950">
        <w:rPr>
          <w:rFonts w:ascii="Times New Roman" w:hAnsi="Times New Roman" w:cs="Times New Roman"/>
          <w:i/>
          <w:iCs/>
          <w:sz w:val="24"/>
          <w:szCs w:val="24"/>
        </w:rPr>
        <w:t>Yngvar</w:t>
      </w:r>
      <w:proofErr w:type="spellEnd"/>
      <w:r w:rsidRPr="00991950">
        <w:rPr>
          <w:rFonts w:ascii="Times New Roman" w:hAnsi="Times New Roman" w:cs="Times New Roman"/>
          <w:i/>
          <w:iCs/>
          <w:sz w:val="24"/>
          <w:szCs w:val="24"/>
        </w:rPr>
        <w:t xml:space="preserve"> Hansen-</w:t>
      </w:r>
      <w:proofErr w:type="spellStart"/>
      <w:r w:rsidRPr="00991950">
        <w:rPr>
          <w:rFonts w:ascii="Times New Roman" w:hAnsi="Times New Roman" w:cs="Times New Roman"/>
          <w:i/>
          <w:iCs/>
          <w:sz w:val="24"/>
          <w:szCs w:val="24"/>
        </w:rPr>
        <w:t>Tangen</w:t>
      </w:r>
      <w:proofErr w:type="spellEnd"/>
      <w:r w:rsidRPr="00991950">
        <w:rPr>
          <w:rFonts w:ascii="Times New Roman" w:hAnsi="Times New Roman" w:cs="Times New Roman"/>
          <w:i/>
          <w:iCs/>
          <w:sz w:val="24"/>
          <w:szCs w:val="24"/>
        </w:rPr>
        <w:t xml:space="preserve"> [1976] 1 WLR 989, per Lord Wilberforce, Bank of Credit and Commerce International SA v Ali [2002] 1 AC 251, para 8, per Lord Bingham, and the survey of more recent authorities in Rainy Sky, per Lord Clarke at paras 21-30. </w:t>
      </w:r>
    </w:p>
    <w:p w14:paraId="01D1B380" w14:textId="77777777" w:rsidR="00CE0914" w:rsidRDefault="00991950" w:rsidP="00467D71">
      <w:pPr>
        <w:shd w:val="clear" w:color="auto" w:fill="FFFFFF"/>
        <w:spacing w:after="120" w:line="480" w:lineRule="auto"/>
        <w:ind w:left="45"/>
        <w:jc w:val="both"/>
        <w:rPr>
          <w:rFonts w:ascii="Times New Roman" w:hAnsi="Times New Roman" w:cs="Times New Roman"/>
          <w:i/>
          <w:iCs/>
          <w:sz w:val="24"/>
          <w:szCs w:val="24"/>
        </w:rPr>
      </w:pPr>
      <w:r w:rsidRPr="00991950">
        <w:rPr>
          <w:rFonts w:ascii="Times New Roman" w:hAnsi="Times New Roman" w:cs="Times New Roman"/>
          <w:i/>
          <w:iCs/>
          <w:sz w:val="24"/>
          <w:szCs w:val="24"/>
        </w:rPr>
        <w:t>20. When it comes to interpreting wills, it seems to me that the approach should be the same. Whether the document in question is a commercial contract or a will, the aim is to identify the intention of the party or parties to the document by interpreting the words used in their documentary, factual and commercial context. As Lord Hoffmann said in Kirin-Amgen Inc v Hoechst Marion Roussel Ltd [2005] 1 All ER 667, para 64, “No one has ever made a</w:t>
      </w:r>
      <w:r w:rsidR="00CE0914">
        <w:rPr>
          <w:rFonts w:ascii="Times New Roman" w:hAnsi="Times New Roman" w:cs="Times New Roman"/>
          <w:i/>
          <w:iCs/>
          <w:sz w:val="24"/>
          <w:szCs w:val="24"/>
        </w:rPr>
        <w:t xml:space="preserve"> </w:t>
      </w:r>
      <w:r w:rsidRPr="00991950">
        <w:rPr>
          <w:rFonts w:ascii="Times New Roman" w:hAnsi="Times New Roman" w:cs="Times New Roman"/>
          <w:i/>
          <w:iCs/>
          <w:sz w:val="24"/>
          <w:szCs w:val="24"/>
        </w:rPr>
        <w:t xml:space="preserve">contextual statement. There is always some context to any utterance, however meagre.” To the same effect, Sir Thomas Bingham MR said in </w:t>
      </w:r>
      <w:proofErr w:type="spellStart"/>
      <w:r w:rsidRPr="00991950">
        <w:rPr>
          <w:rFonts w:ascii="Times New Roman" w:hAnsi="Times New Roman" w:cs="Times New Roman"/>
          <w:i/>
          <w:iCs/>
          <w:sz w:val="24"/>
          <w:szCs w:val="24"/>
        </w:rPr>
        <w:t>Arbuthnott</w:t>
      </w:r>
      <w:proofErr w:type="spellEnd"/>
      <w:r w:rsidRPr="00991950">
        <w:rPr>
          <w:rFonts w:ascii="Times New Roman" w:hAnsi="Times New Roman" w:cs="Times New Roman"/>
          <w:i/>
          <w:iCs/>
          <w:sz w:val="24"/>
          <w:szCs w:val="24"/>
        </w:rPr>
        <w:t xml:space="preserve"> v Fagan [1995] CLC 1396, that “[c]</w:t>
      </w:r>
      <w:proofErr w:type="spellStart"/>
      <w:r w:rsidRPr="00991950">
        <w:rPr>
          <w:rFonts w:ascii="Times New Roman" w:hAnsi="Times New Roman" w:cs="Times New Roman"/>
          <w:i/>
          <w:iCs/>
          <w:sz w:val="24"/>
          <w:szCs w:val="24"/>
        </w:rPr>
        <w:t>ourts</w:t>
      </w:r>
      <w:proofErr w:type="spellEnd"/>
      <w:r w:rsidRPr="00991950">
        <w:rPr>
          <w:rFonts w:ascii="Times New Roman" w:hAnsi="Times New Roman" w:cs="Times New Roman"/>
          <w:i/>
          <w:iCs/>
          <w:sz w:val="24"/>
          <w:szCs w:val="24"/>
        </w:rPr>
        <w:t xml:space="preserve"> will never construe words in a vacuum”. Page 8 </w:t>
      </w:r>
    </w:p>
    <w:p w14:paraId="6EC80EF0" w14:textId="3911FADD" w:rsidR="00991950" w:rsidRDefault="00991950" w:rsidP="00467D71">
      <w:pPr>
        <w:shd w:val="clear" w:color="auto" w:fill="FFFFFF"/>
        <w:spacing w:after="120" w:line="480" w:lineRule="auto"/>
        <w:ind w:left="45"/>
        <w:jc w:val="both"/>
        <w:rPr>
          <w:rFonts w:ascii="Times New Roman" w:eastAsia="Times New Roman" w:hAnsi="Times New Roman" w:cs="Times New Roman"/>
          <w:color w:val="000000"/>
          <w:sz w:val="24"/>
          <w:szCs w:val="24"/>
          <w:lang w:val="en" w:eastAsia="en-GB"/>
        </w:rPr>
      </w:pPr>
      <w:r w:rsidRPr="00991950">
        <w:rPr>
          <w:rFonts w:ascii="Times New Roman" w:hAnsi="Times New Roman" w:cs="Times New Roman"/>
          <w:i/>
          <w:iCs/>
          <w:sz w:val="24"/>
          <w:szCs w:val="24"/>
        </w:rPr>
        <w:t xml:space="preserve">21. Of course, a contract is agreed between a number of parties, whereas a will is made by a single party. However, that distinction is an unconvincing reason for adopting a different approach in principle to interpretation of wills: it is merely one of the contextual circumstances which has to be borne in mind when interpreting the document concerned. Thus, </w:t>
      </w:r>
      <w:r w:rsidRPr="00991950">
        <w:rPr>
          <w:rFonts w:ascii="Times New Roman" w:hAnsi="Times New Roman" w:cs="Times New Roman"/>
          <w:i/>
          <w:iCs/>
          <w:sz w:val="24"/>
          <w:szCs w:val="24"/>
        </w:rPr>
        <w:lastRenderedPageBreak/>
        <w:t xml:space="preserve">the court takes the same approach to interpretation of unilateral notices as it takes to interpretation of contracts – see </w:t>
      </w:r>
      <w:proofErr w:type="spellStart"/>
      <w:r w:rsidRPr="00991950">
        <w:rPr>
          <w:rFonts w:ascii="Times New Roman" w:hAnsi="Times New Roman" w:cs="Times New Roman"/>
          <w:i/>
          <w:iCs/>
          <w:sz w:val="24"/>
          <w:szCs w:val="24"/>
        </w:rPr>
        <w:t>Mannai</w:t>
      </w:r>
      <w:proofErr w:type="spellEnd"/>
      <w:r w:rsidRPr="00991950">
        <w:rPr>
          <w:rFonts w:ascii="Times New Roman" w:hAnsi="Times New Roman" w:cs="Times New Roman"/>
          <w:i/>
          <w:iCs/>
          <w:sz w:val="24"/>
          <w:szCs w:val="24"/>
        </w:rPr>
        <w:t xml:space="preserve"> Investment Co Ltd v Eagle Star Life Assurance Co Ltd [1997] AC 749, per Lord Steyn at 770C-771D, and Lord Hoffmann at 779H780F.</w:t>
      </w:r>
    </w:p>
    <w:p w14:paraId="6DDAC68E" w14:textId="79E498A5" w:rsidR="000C0969" w:rsidRDefault="000C0969" w:rsidP="00467D71">
      <w:pPr>
        <w:shd w:val="clear" w:color="auto" w:fill="FFFFFF"/>
        <w:spacing w:after="120" w:line="480" w:lineRule="auto"/>
        <w:ind w:left="45"/>
        <w:jc w:val="both"/>
        <w:rPr>
          <w:rFonts w:ascii="Times New Roman" w:eastAsia="Times New Roman" w:hAnsi="Times New Roman" w:cs="Times New Roman"/>
          <w:i/>
          <w:color w:val="000000"/>
          <w:sz w:val="24"/>
          <w:szCs w:val="24"/>
          <w:lang w:val="en" w:eastAsia="en-GB"/>
        </w:rPr>
      </w:pPr>
      <w:r>
        <w:rPr>
          <w:rFonts w:ascii="Times New Roman" w:eastAsia="Times New Roman" w:hAnsi="Times New Roman" w:cs="Times New Roman"/>
          <w:color w:val="000000"/>
          <w:sz w:val="24"/>
          <w:szCs w:val="24"/>
          <w:lang w:val="en" w:eastAsia="en-GB"/>
        </w:rPr>
        <w:t xml:space="preserve">Lord Neuberger suggested that it might have been possible to construe the will executed by the husband so as to give effect to his intention.   He preferred, however, to decide the case on the basis of rectification saying:  </w:t>
      </w:r>
      <w:r w:rsidRPr="00513798">
        <w:rPr>
          <w:rFonts w:ascii="Times New Roman" w:eastAsia="Times New Roman" w:hAnsi="Times New Roman" w:cs="Times New Roman"/>
          <w:i/>
          <w:color w:val="000000"/>
          <w:sz w:val="24"/>
          <w:szCs w:val="24"/>
          <w:lang w:val="en" w:eastAsia="en-GB"/>
        </w:rPr>
        <w:t>“ I can see no reason in principle why a wholesale correction should be ruled out as a permissible exercise of the Court’s power to rectify, as a matter of principle. On the contrary: to impose such a restriction on the power of rectification would be unprincipled – and it would also lead to uncertainty.”</w:t>
      </w:r>
      <w:r>
        <w:rPr>
          <w:rFonts w:ascii="Times New Roman" w:eastAsia="Times New Roman" w:hAnsi="Times New Roman" w:cs="Times New Roman"/>
          <w:color w:val="000000"/>
          <w:sz w:val="24"/>
          <w:szCs w:val="24"/>
          <w:lang w:val="en" w:eastAsia="en-GB"/>
        </w:rPr>
        <w:t xml:space="preserve">    He concluded that statutory rectification was available even if the document unrectified did not fulfil the requirements of a valid will: </w:t>
      </w:r>
      <w:r w:rsidRPr="00F475FB">
        <w:rPr>
          <w:rFonts w:ascii="Times New Roman" w:eastAsia="Times New Roman" w:hAnsi="Times New Roman" w:cs="Times New Roman"/>
          <w:i/>
          <w:color w:val="000000"/>
          <w:sz w:val="24"/>
          <w:szCs w:val="24"/>
          <w:lang w:val="en" w:eastAsia="en-GB"/>
        </w:rPr>
        <w:t xml:space="preserve">“It does not appear to me that a document has to satisfy the formal requirements of s.9, or of having the testators knowledge and approval, before it can be treated as a “will” which is capable of being rectified pursuant to section 20.” </w:t>
      </w:r>
    </w:p>
    <w:p w14:paraId="51C0E063" w14:textId="44E94A48" w:rsidR="00991950" w:rsidRPr="00CE0914" w:rsidRDefault="00991950" w:rsidP="00467D71">
      <w:pPr>
        <w:shd w:val="clear" w:color="auto" w:fill="FFFFFF"/>
        <w:spacing w:after="120" w:line="480" w:lineRule="auto"/>
        <w:ind w:left="45"/>
        <w:jc w:val="both"/>
        <w:rPr>
          <w:rFonts w:ascii="Times New Roman" w:eastAsia="Times New Roman" w:hAnsi="Times New Roman" w:cs="Times New Roman"/>
          <w:i/>
          <w:iCs/>
          <w:color w:val="000000"/>
          <w:sz w:val="24"/>
          <w:szCs w:val="24"/>
          <w:lang w:val="en" w:eastAsia="en-GB"/>
        </w:rPr>
      </w:pPr>
      <w:r>
        <w:rPr>
          <w:rFonts w:ascii="Times New Roman" w:eastAsia="Times New Roman" w:hAnsi="Times New Roman" w:cs="Times New Roman"/>
          <w:iCs/>
          <w:color w:val="000000"/>
          <w:sz w:val="24"/>
          <w:szCs w:val="24"/>
          <w:lang w:val="en" w:eastAsia="en-GB"/>
        </w:rPr>
        <w:t xml:space="preserve">There is, of course, additional statutory provision relating to the construction of will as set out in Section 21 of the Administration of </w:t>
      </w:r>
      <w:r w:rsidR="00CE0914">
        <w:rPr>
          <w:rFonts w:ascii="Times New Roman" w:eastAsia="Times New Roman" w:hAnsi="Times New Roman" w:cs="Times New Roman"/>
          <w:iCs/>
          <w:color w:val="000000"/>
          <w:sz w:val="24"/>
          <w:szCs w:val="24"/>
          <w:lang w:val="en" w:eastAsia="en-GB"/>
        </w:rPr>
        <w:t>J</w:t>
      </w:r>
      <w:r>
        <w:rPr>
          <w:rFonts w:ascii="Times New Roman" w:eastAsia="Times New Roman" w:hAnsi="Times New Roman" w:cs="Times New Roman"/>
          <w:iCs/>
          <w:color w:val="000000"/>
          <w:sz w:val="24"/>
          <w:szCs w:val="24"/>
          <w:lang w:val="en" w:eastAsia="en-GB"/>
        </w:rPr>
        <w:t>ustice Act 1982 which modify the Marley principles so as to allow evidence of the testator’s subjective intentions in limited circumstances</w:t>
      </w:r>
      <w:r w:rsidR="00CE0914">
        <w:rPr>
          <w:rFonts w:ascii="Times New Roman" w:eastAsia="Times New Roman" w:hAnsi="Times New Roman" w:cs="Times New Roman"/>
          <w:iCs/>
          <w:color w:val="000000"/>
          <w:sz w:val="24"/>
          <w:szCs w:val="24"/>
          <w:lang w:val="en" w:eastAsia="en-GB"/>
        </w:rPr>
        <w:t xml:space="preserve"> as below:</w:t>
      </w:r>
      <w:r>
        <w:rPr>
          <w:rFonts w:ascii="Times New Roman" w:eastAsia="Times New Roman" w:hAnsi="Times New Roman" w:cs="Times New Roman"/>
          <w:iCs/>
          <w:color w:val="000000"/>
          <w:sz w:val="24"/>
          <w:szCs w:val="24"/>
          <w:lang w:val="en" w:eastAsia="en-GB"/>
        </w:rPr>
        <w:t xml:space="preserve"> </w:t>
      </w:r>
    </w:p>
    <w:p w14:paraId="2D52191A" w14:textId="57AB1CA8" w:rsidR="00991950" w:rsidRPr="00CE0914" w:rsidRDefault="00991950" w:rsidP="00467D71">
      <w:pPr>
        <w:shd w:val="clear" w:color="auto" w:fill="FFFFFF"/>
        <w:spacing w:after="120" w:line="480" w:lineRule="auto"/>
        <w:rPr>
          <w:rFonts w:ascii="Times New Roman" w:eastAsia="Times New Roman" w:hAnsi="Times New Roman" w:cs="Times New Roman"/>
          <w:i/>
          <w:iCs/>
          <w:color w:val="000000"/>
          <w:sz w:val="24"/>
          <w:szCs w:val="24"/>
          <w:lang w:eastAsia="en-GB"/>
        </w:rPr>
      </w:pPr>
      <w:r w:rsidRPr="00CE0914">
        <w:rPr>
          <w:rFonts w:ascii="Times New Roman" w:eastAsia="Times New Roman" w:hAnsi="Times New Roman" w:cs="Times New Roman"/>
          <w:i/>
          <w:iCs/>
          <w:color w:val="000000"/>
          <w:sz w:val="24"/>
          <w:szCs w:val="24"/>
          <w:lang w:eastAsia="en-GB"/>
        </w:rPr>
        <w:t>(1)</w:t>
      </w:r>
      <w:r w:rsidR="00CE0914" w:rsidRPr="00CE0914">
        <w:rPr>
          <w:rFonts w:ascii="Times New Roman" w:eastAsia="Times New Roman" w:hAnsi="Times New Roman" w:cs="Times New Roman"/>
          <w:i/>
          <w:iCs/>
          <w:color w:val="000000"/>
          <w:sz w:val="24"/>
          <w:szCs w:val="24"/>
          <w:lang w:eastAsia="en-GB"/>
        </w:rPr>
        <w:t xml:space="preserve"> </w:t>
      </w:r>
      <w:r w:rsidR="00CE0914" w:rsidRPr="00CE0914">
        <w:rPr>
          <w:rFonts w:ascii="Times New Roman" w:eastAsia="Times New Roman" w:hAnsi="Times New Roman" w:cs="Times New Roman"/>
          <w:i/>
          <w:iCs/>
          <w:color w:val="000000"/>
          <w:sz w:val="24"/>
          <w:szCs w:val="24"/>
          <w:lang w:eastAsia="en-GB"/>
        </w:rPr>
        <w:tab/>
      </w:r>
      <w:r w:rsidRPr="00CE0914">
        <w:rPr>
          <w:rFonts w:ascii="Times New Roman" w:eastAsia="Times New Roman" w:hAnsi="Times New Roman" w:cs="Times New Roman"/>
          <w:i/>
          <w:iCs/>
          <w:color w:val="000000"/>
          <w:sz w:val="24"/>
          <w:szCs w:val="24"/>
          <w:lang w:eastAsia="en-GB"/>
        </w:rPr>
        <w:t>This section applies to a will—</w:t>
      </w:r>
    </w:p>
    <w:p w14:paraId="4199D303" w14:textId="3F625691" w:rsidR="00991950" w:rsidRPr="00CE0914" w:rsidRDefault="00991950" w:rsidP="00467D71">
      <w:pPr>
        <w:shd w:val="clear" w:color="auto" w:fill="FFFFFF"/>
        <w:spacing w:after="120" w:line="480" w:lineRule="auto"/>
        <w:ind w:firstLine="720"/>
        <w:rPr>
          <w:rFonts w:ascii="Times New Roman" w:eastAsia="Times New Roman" w:hAnsi="Times New Roman" w:cs="Times New Roman"/>
          <w:i/>
          <w:iCs/>
          <w:color w:val="000000"/>
          <w:sz w:val="24"/>
          <w:szCs w:val="24"/>
          <w:lang w:eastAsia="en-GB"/>
        </w:rPr>
      </w:pPr>
      <w:r w:rsidRPr="00CE0914">
        <w:rPr>
          <w:rFonts w:ascii="Times New Roman" w:eastAsia="Times New Roman" w:hAnsi="Times New Roman" w:cs="Times New Roman"/>
          <w:i/>
          <w:iCs/>
          <w:color w:val="000000"/>
          <w:sz w:val="24"/>
          <w:szCs w:val="24"/>
          <w:lang w:eastAsia="en-GB"/>
        </w:rPr>
        <w:t>(a)</w:t>
      </w:r>
      <w:r w:rsidR="00CE0914" w:rsidRPr="00CE0914">
        <w:rPr>
          <w:rFonts w:ascii="Times New Roman" w:eastAsia="Times New Roman" w:hAnsi="Times New Roman" w:cs="Times New Roman"/>
          <w:i/>
          <w:iCs/>
          <w:color w:val="000000"/>
          <w:sz w:val="24"/>
          <w:szCs w:val="24"/>
          <w:lang w:eastAsia="en-GB"/>
        </w:rPr>
        <w:tab/>
      </w:r>
      <w:r w:rsidRPr="00CE0914">
        <w:rPr>
          <w:rFonts w:ascii="Times New Roman" w:eastAsia="Times New Roman" w:hAnsi="Times New Roman" w:cs="Times New Roman"/>
          <w:i/>
          <w:iCs/>
          <w:color w:val="000000"/>
          <w:sz w:val="24"/>
          <w:szCs w:val="24"/>
          <w:lang w:eastAsia="en-GB"/>
        </w:rPr>
        <w:t>in so far as any part of it is meaningless;</w:t>
      </w:r>
    </w:p>
    <w:p w14:paraId="4540E864" w14:textId="3A9FDA15" w:rsidR="00991950" w:rsidRPr="00CE0914" w:rsidRDefault="00991950" w:rsidP="00467D71">
      <w:pPr>
        <w:shd w:val="clear" w:color="auto" w:fill="FFFFFF"/>
        <w:spacing w:after="120" w:line="480" w:lineRule="auto"/>
        <w:ind w:firstLine="720"/>
        <w:rPr>
          <w:rFonts w:ascii="Times New Roman" w:eastAsia="Times New Roman" w:hAnsi="Times New Roman" w:cs="Times New Roman"/>
          <w:i/>
          <w:iCs/>
          <w:color w:val="000000"/>
          <w:sz w:val="24"/>
          <w:szCs w:val="24"/>
          <w:lang w:eastAsia="en-GB"/>
        </w:rPr>
      </w:pPr>
      <w:r w:rsidRPr="00CE0914">
        <w:rPr>
          <w:rFonts w:ascii="Times New Roman" w:eastAsia="Times New Roman" w:hAnsi="Times New Roman" w:cs="Times New Roman"/>
          <w:i/>
          <w:iCs/>
          <w:color w:val="000000"/>
          <w:sz w:val="24"/>
          <w:szCs w:val="24"/>
          <w:lang w:eastAsia="en-GB"/>
        </w:rPr>
        <w:t>(b)</w:t>
      </w:r>
      <w:r w:rsidR="00CE0914" w:rsidRPr="00CE0914">
        <w:rPr>
          <w:rFonts w:ascii="Times New Roman" w:eastAsia="Times New Roman" w:hAnsi="Times New Roman" w:cs="Times New Roman"/>
          <w:i/>
          <w:iCs/>
          <w:color w:val="000000"/>
          <w:sz w:val="24"/>
          <w:szCs w:val="24"/>
          <w:lang w:eastAsia="en-GB"/>
        </w:rPr>
        <w:tab/>
      </w:r>
      <w:r w:rsidRPr="00CE0914">
        <w:rPr>
          <w:rFonts w:ascii="Times New Roman" w:eastAsia="Times New Roman" w:hAnsi="Times New Roman" w:cs="Times New Roman"/>
          <w:i/>
          <w:iCs/>
          <w:color w:val="000000"/>
          <w:sz w:val="24"/>
          <w:szCs w:val="24"/>
          <w:lang w:eastAsia="en-GB"/>
        </w:rPr>
        <w:t>in so far as the language used in any part of it is ambiguous on the face of it;</w:t>
      </w:r>
    </w:p>
    <w:p w14:paraId="6620170C" w14:textId="217E3691" w:rsidR="00991950" w:rsidRPr="00CE0914" w:rsidRDefault="00991950" w:rsidP="00467D71">
      <w:pPr>
        <w:shd w:val="clear" w:color="auto" w:fill="FFFFFF"/>
        <w:spacing w:after="120" w:line="480" w:lineRule="auto"/>
        <w:ind w:left="1440" w:hanging="720"/>
        <w:rPr>
          <w:rFonts w:ascii="Times New Roman" w:eastAsia="Times New Roman" w:hAnsi="Times New Roman" w:cs="Times New Roman"/>
          <w:i/>
          <w:iCs/>
          <w:color w:val="000000"/>
          <w:sz w:val="24"/>
          <w:szCs w:val="24"/>
          <w:lang w:eastAsia="en-GB"/>
        </w:rPr>
      </w:pPr>
      <w:r w:rsidRPr="00CE0914">
        <w:rPr>
          <w:rFonts w:ascii="Times New Roman" w:eastAsia="Times New Roman" w:hAnsi="Times New Roman" w:cs="Times New Roman"/>
          <w:i/>
          <w:iCs/>
          <w:color w:val="000000"/>
          <w:sz w:val="24"/>
          <w:szCs w:val="24"/>
          <w:lang w:eastAsia="en-GB"/>
        </w:rPr>
        <w:t>(c)</w:t>
      </w:r>
      <w:r w:rsidR="00CE0914" w:rsidRPr="00CE0914">
        <w:rPr>
          <w:rFonts w:ascii="Times New Roman" w:eastAsia="Times New Roman" w:hAnsi="Times New Roman" w:cs="Times New Roman"/>
          <w:i/>
          <w:iCs/>
          <w:color w:val="000000"/>
          <w:sz w:val="24"/>
          <w:szCs w:val="24"/>
          <w:lang w:eastAsia="en-GB"/>
        </w:rPr>
        <w:tab/>
      </w:r>
      <w:r w:rsidRPr="00CE0914">
        <w:rPr>
          <w:rFonts w:ascii="Times New Roman" w:eastAsia="Times New Roman" w:hAnsi="Times New Roman" w:cs="Times New Roman"/>
          <w:i/>
          <w:iCs/>
          <w:color w:val="000000"/>
          <w:sz w:val="24"/>
          <w:szCs w:val="24"/>
          <w:lang w:eastAsia="en-GB"/>
        </w:rPr>
        <w:t>in so far as evidence, other than evidence of the testator’s intention, shows that the language used in any part of it is ambiguous in the light of surrounding circumstances.</w:t>
      </w:r>
    </w:p>
    <w:p w14:paraId="78211593" w14:textId="0200117A" w:rsidR="00991950" w:rsidRPr="00CE0914" w:rsidRDefault="00991950" w:rsidP="00467D71">
      <w:pPr>
        <w:shd w:val="clear" w:color="auto" w:fill="FFFFFF"/>
        <w:spacing w:after="120" w:line="480" w:lineRule="auto"/>
        <w:ind w:left="720" w:hanging="720"/>
        <w:rPr>
          <w:rFonts w:ascii="Times New Roman" w:eastAsia="Times New Roman" w:hAnsi="Times New Roman" w:cs="Times New Roman"/>
          <w:i/>
          <w:iCs/>
          <w:color w:val="000000"/>
          <w:sz w:val="24"/>
          <w:szCs w:val="24"/>
          <w:lang w:eastAsia="en-GB"/>
        </w:rPr>
      </w:pPr>
      <w:r w:rsidRPr="00CE0914">
        <w:rPr>
          <w:rFonts w:ascii="Times New Roman" w:eastAsia="Times New Roman" w:hAnsi="Times New Roman" w:cs="Times New Roman"/>
          <w:i/>
          <w:iCs/>
          <w:color w:val="000000"/>
          <w:sz w:val="24"/>
          <w:szCs w:val="24"/>
          <w:lang w:eastAsia="en-GB"/>
        </w:rPr>
        <w:lastRenderedPageBreak/>
        <w:t>(2)</w:t>
      </w:r>
      <w:r w:rsidR="00CE0914" w:rsidRPr="00CE0914">
        <w:rPr>
          <w:rFonts w:ascii="Times New Roman" w:eastAsia="Times New Roman" w:hAnsi="Times New Roman" w:cs="Times New Roman"/>
          <w:i/>
          <w:iCs/>
          <w:color w:val="000000"/>
          <w:sz w:val="24"/>
          <w:szCs w:val="24"/>
          <w:lang w:eastAsia="en-GB"/>
        </w:rPr>
        <w:tab/>
      </w:r>
      <w:r w:rsidRPr="00CE0914">
        <w:rPr>
          <w:rFonts w:ascii="Times New Roman" w:eastAsia="Times New Roman" w:hAnsi="Times New Roman" w:cs="Times New Roman"/>
          <w:i/>
          <w:iCs/>
          <w:color w:val="000000"/>
          <w:sz w:val="24"/>
          <w:szCs w:val="24"/>
          <w:lang w:eastAsia="en-GB"/>
        </w:rPr>
        <w:t>In so far as this section applies to a will extrinsic evidence, including evidence of the testator’s intention, may be admitted to assist in its interpretation.</w:t>
      </w:r>
    </w:p>
    <w:p w14:paraId="3D6BD286" w14:textId="77777777" w:rsidR="00991950" w:rsidRDefault="00991950" w:rsidP="00467D71">
      <w:pPr>
        <w:shd w:val="clear" w:color="auto" w:fill="FFFFFF"/>
        <w:spacing w:after="120" w:line="480" w:lineRule="auto"/>
        <w:ind w:left="45"/>
        <w:jc w:val="both"/>
        <w:rPr>
          <w:rFonts w:ascii="Times New Roman" w:eastAsia="Times New Roman" w:hAnsi="Times New Roman" w:cs="Times New Roman"/>
          <w:iCs/>
          <w:color w:val="000000"/>
          <w:sz w:val="24"/>
          <w:szCs w:val="24"/>
          <w:lang w:val="en" w:eastAsia="en-GB"/>
        </w:rPr>
      </w:pPr>
    </w:p>
    <w:p w14:paraId="17D1496D" w14:textId="77777777" w:rsidR="00E56A12" w:rsidRDefault="000C0969" w:rsidP="00467D71">
      <w:pPr>
        <w:shd w:val="clear" w:color="auto" w:fill="FFFFFF"/>
        <w:spacing w:after="120" w:line="480" w:lineRule="auto"/>
        <w:ind w:left="45"/>
        <w:jc w:val="both"/>
        <w:rPr>
          <w:rFonts w:ascii="Times New Roman" w:eastAsia="Times New Roman" w:hAnsi="Times New Roman" w:cs="Times New Roman"/>
          <w:color w:val="000000"/>
          <w:sz w:val="24"/>
          <w:szCs w:val="24"/>
          <w:lang w:val="en" w:eastAsia="en-GB"/>
        </w:rPr>
      </w:pPr>
      <w:r>
        <w:rPr>
          <w:rFonts w:ascii="Times New Roman" w:eastAsia="Times New Roman" w:hAnsi="Times New Roman" w:cs="Times New Roman"/>
          <w:color w:val="000000"/>
          <w:sz w:val="24"/>
          <w:szCs w:val="24"/>
          <w:lang w:val="en" w:eastAsia="en-GB"/>
        </w:rPr>
        <w:t xml:space="preserve">Since </w:t>
      </w:r>
      <w:r w:rsidRPr="002F3CB1">
        <w:rPr>
          <w:rFonts w:ascii="Times New Roman" w:eastAsia="Times New Roman" w:hAnsi="Times New Roman" w:cs="Times New Roman"/>
          <w:b/>
          <w:color w:val="000000"/>
          <w:sz w:val="24"/>
          <w:szCs w:val="24"/>
          <w:lang w:val="en" w:eastAsia="en-GB"/>
        </w:rPr>
        <w:t>Marley v Rawlings</w:t>
      </w:r>
      <w:r>
        <w:rPr>
          <w:rFonts w:ascii="Times New Roman" w:eastAsia="Times New Roman" w:hAnsi="Times New Roman" w:cs="Times New Roman"/>
          <w:color w:val="000000"/>
          <w:sz w:val="24"/>
          <w:szCs w:val="24"/>
          <w:lang w:val="en" w:eastAsia="en-GB"/>
        </w:rPr>
        <w:t xml:space="preserve">  there have been </w:t>
      </w:r>
      <w:r w:rsidR="00E56A12">
        <w:rPr>
          <w:rFonts w:ascii="Times New Roman" w:eastAsia="Times New Roman" w:hAnsi="Times New Roman" w:cs="Times New Roman"/>
          <w:color w:val="000000"/>
          <w:sz w:val="24"/>
          <w:szCs w:val="24"/>
          <w:lang w:val="en" w:eastAsia="en-GB"/>
        </w:rPr>
        <w:t>numerous</w:t>
      </w:r>
      <w:r>
        <w:rPr>
          <w:rFonts w:ascii="Times New Roman" w:eastAsia="Times New Roman" w:hAnsi="Times New Roman" w:cs="Times New Roman"/>
          <w:color w:val="000000"/>
          <w:sz w:val="24"/>
          <w:szCs w:val="24"/>
          <w:lang w:val="en" w:eastAsia="en-GB"/>
        </w:rPr>
        <w:t xml:space="preserve"> cases where the principles </w:t>
      </w:r>
      <w:r w:rsidR="00E56A12">
        <w:rPr>
          <w:rFonts w:ascii="Times New Roman" w:eastAsia="Times New Roman" w:hAnsi="Times New Roman" w:cs="Times New Roman"/>
          <w:color w:val="000000"/>
          <w:sz w:val="24"/>
          <w:szCs w:val="24"/>
          <w:lang w:val="en" w:eastAsia="en-GB"/>
        </w:rPr>
        <w:t xml:space="preserve">of construction </w:t>
      </w:r>
      <w:r>
        <w:rPr>
          <w:rFonts w:ascii="Times New Roman" w:eastAsia="Times New Roman" w:hAnsi="Times New Roman" w:cs="Times New Roman"/>
          <w:color w:val="000000"/>
          <w:sz w:val="24"/>
          <w:szCs w:val="24"/>
          <w:lang w:val="en" w:eastAsia="en-GB"/>
        </w:rPr>
        <w:t>set out have been approved and applied. In none of them have the facts been as extreme as in Marley.  The court has shown a preference for trying first to construe the will so as to give effect to the intention of the testator</w:t>
      </w:r>
      <w:r w:rsidR="00E56A12">
        <w:rPr>
          <w:rFonts w:ascii="Times New Roman" w:eastAsia="Times New Roman" w:hAnsi="Times New Roman" w:cs="Times New Roman"/>
          <w:color w:val="000000"/>
          <w:sz w:val="24"/>
          <w:szCs w:val="24"/>
          <w:lang w:val="en" w:eastAsia="en-GB"/>
        </w:rPr>
        <w:t xml:space="preserve"> before looking at rectification but w</w:t>
      </w:r>
      <w:r w:rsidR="00E56A12" w:rsidRPr="00AF2E46">
        <w:rPr>
          <w:rFonts w:ascii="Times New Roman" w:eastAsia="Times New Roman" w:hAnsi="Times New Roman" w:cs="Times New Roman"/>
          <w:color w:val="000000"/>
          <w:sz w:val="24"/>
          <w:szCs w:val="24"/>
          <w:lang w:val="en" w:eastAsia="en-GB"/>
        </w:rPr>
        <w:t xml:space="preserve">hat can be deduced from the cases is that if there is an ambiguity the court will </w:t>
      </w:r>
      <w:r w:rsidR="00E56A12">
        <w:rPr>
          <w:rFonts w:ascii="Times New Roman" w:eastAsia="Times New Roman" w:hAnsi="Times New Roman" w:cs="Times New Roman"/>
          <w:color w:val="000000"/>
          <w:sz w:val="24"/>
          <w:szCs w:val="24"/>
          <w:lang w:val="en" w:eastAsia="en-GB"/>
        </w:rPr>
        <w:t xml:space="preserve">usually proceed down the </w:t>
      </w:r>
      <w:r w:rsidR="00E56A12" w:rsidRPr="00AF2E46">
        <w:rPr>
          <w:rFonts w:ascii="Times New Roman" w:eastAsia="Times New Roman" w:hAnsi="Times New Roman" w:cs="Times New Roman"/>
          <w:color w:val="000000"/>
          <w:sz w:val="24"/>
          <w:szCs w:val="24"/>
          <w:lang w:val="en" w:eastAsia="en-GB"/>
        </w:rPr>
        <w:t xml:space="preserve">construction </w:t>
      </w:r>
      <w:r w:rsidR="00E56A12">
        <w:rPr>
          <w:rFonts w:ascii="Times New Roman" w:eastAsia="Times New Roman" w:hAnsi="Times New Roman" w:cs="Times New Roman"/>
          <w:color w:val="000000"/>
          <w:sz w:val="24"/>
          <w:szCs w:val="24"/>
          <w:lang w:val="en" w:eastAsia="en-GB"/>
        </w:rPr>
        <w:t xml:space="preserve">route </w:t>
      </w:r>
      <w:r w:rsidR="00E56A12" w:rsidRPr="00AF2E46">
        <w:rPr>
          <w:rFonts w:ascii="Times New Roman" w:eastAsia="Times New Roman" w:hAnsi="Times New Roman" w:cs="Times New Roman"/>
          <w:color w:val="000000"/>
          <w:sz w:val="24"/>
          <w:szCs w:val="24"/>
          <w:lang w:val="en" w:eastAsia="en-GB"/>
        </w:rPr>
        <w:t xml:space="preserve">but where the will is sensible and clear on its face </w:t>
      </w:r>
      <w:r w:rsidR="00E56A12">
        <w:rPr>
          <w:rFonts w:ascii="Times New Roman" w:eastAsia="Times New Roman" w:hAnsi="Times New Roman" w:cs="Times New Roman"/>
          <w:color w:val="000000"/>
          <w:sz w:val="24"/>
          <w:szCs w:val="24"/>
          <w:lang w:val="en" w:eastAsia="en-GB"/>
        </w:rPr>
        <w:t xml:space="preserve">(as in Marley itself) </w:t>
      </w:r>
      <w:r w:rsidR="00E56A12" w:rsidRPr="00AF2E46">
        <w:rPr>
          <w:rFonts w:ascii="Times New Roman" w:eastAsia="Times New Roman" w:hAnsi="Times New Roman" w:cs="Times New Roman"/>
          <w:color w:val="000000"/>
          <w:sz w:val="24"/>
          <w:szCs w:val="24"/>
          <w:lang w:val="en" w:eastAsia="en-GB"/>
        </w:rPr>
        <w:t xml:space="preserve">but does not reflect intention then the </w:t>
      </w:r>
      <w:r w:rsidR="00E56A12">
        <w:rPr>
          <w:rFonts w:ascii="Times New Roman" w:eastAsia="Times New Roman" w:hAnsi="Times New Roman" w:cs="Times New Roman"/>
          <w:color w:val="000000"/>
          <w:sz w:val="24"/>
          <w:szCs w:val="24"/>
          <w:lang w:val="en" w:eastAsia="en-GB"/>
        </w:rPr>
        <w:t>court will consider rectification</w:t>
      </w:r>
      <w:r w:rsidR="00E56A12" w:rsidRPr="00AF2E46">
        <w:rPr>
          <w:rFonts w:ascii="Times New Roman" w:eastAsia="Times New Roman" w:hAnsi="Times New Roman" w:cs="Times New Roman"/>
          <w:color w:val="000000"/>
          <w:sz w:val="24"/>
          <w:szCs w:val="24"/>
          <w:lang w:val="en" w:eastAsia="en-GB"/>
        </w:rPr>
        <w:t>.</w:t>
      </w:r>
    </w:p>
    <w:p w14:paraId="0F1DE033" w14:textId="38A81A0F" w:rsidR="00E56A12" w:rsidRDefault="00E56A12" w:rsidP="00467D71">
      <w:pPr>
        <w:shd w:val="clear" w:color="auto" w:fill="FFFFFF"/>
        <w:spacing w:after="120" w:line="480" w:lineRule="auto"/>
        <w:ind w:left="45"/>
        <w:jc w:val="both"/>
        <w:rPr>
          <w:rFonts w:ascii="Times New Roman" w:eastAsia="Times New Roman" w:hAnsi="Times New Roman" w:cs="Times New Roman"/>
          <w:color w:val="000000"/>
          <w:sz w:val="24"/>
          <w:szCs w:val="24"/>
          <w:lang w:val="en" w:eastAsia="en-GB"/>
        </w:rPr>
      </w:pPr>
      <w:r>
        <w:rPr>
          <w:rFonts w:ascii="Times New Roman" w:eastAsia="Times New Roman" w:hAnsi="Times New Roman" w:cs="Times New Roman"/>
          <w:color w:val="000000"/>
          <w:sz w:val="24"/>
          <w:szCs w:val="24"/>
          <w:lang w:val="en" w:eastAsia="en-GB"/>
        </w:rPr>
        <w:t>In the last year or so there have been a number of interesting cases on this area</w:t>
      </w:r>
      <w:r w:rsidRPr="00AF2E46">
        <w:rPr>
          <w:rFonts w:ascii="Times New Roman" w:eastAsia="Times New Roman" w:hAnsi="Times New Roman" w:cs="Times New Roman"/>
          <w:color w:val="000000"/>
          <w:sz w:val="24"/>
          <w:szCs w:val="24"/>
          <w:lang w:val="en" w:eastAsia="en-GB"/>
        </w:rPr>
        <w:t xml:space="preserve"> </w:t>
      </w:r>
      <w:r>
        <w:rPr>
          <w:rFonts w:ascii="Times New Roman" w:eastAsia="Times New Roman" w:hAnsi="Times New Roman" w:cs="Times New Roman"/>
          <w:color w:val="000000"/>
          <w:sz w:val="24"/>
          <w:szCs w:val="24"/>
          <w:lang w:val="en" w:eastAsia="en-GB"/>
        </w:rPr>
        <w:t xml:space="preserve">and it is some of those cases which I am going to talk to you about today. </w:t>
      </w:r>
      <w:r w:rsidR="004A70DF">
        <w:rPr>
          <w:rFonts w:ascii="Times New Roman" w:eastAsia="Times New Roman" w:hAnsi="Times New Roman" w:cs="Times New Roman"/>
          <w:color w:val="000000"/>
          <w:sz w:val="24"/>
          <w:szCs w:val="24"/>
          <w:lang w:val="en" w:eastAsia="en-GB"/>
        </w:rPr>
        <w:t xml:space="preserve"> In the 15 minutes allotted to me I cannot possibly deal with all the cases dealt with below and so this paper will give you some information on the others.  </w:t>
      </w:r>
    </w:p>
    <w:p w14:paraId="743F88A4" w14:textId="6806BFFC" w:rsidR="00F97339" w:rsidRDefault="00E56A12" w:rsidP="00467D71">
      <w:pPr>
        <w:shd w:val="clear" w:color="auto" w:fill="FFFFFF"/>
        <w:spacing w:after="120" w:line="480" w:lineRule="auto"/>
        <w:ind w:left="45"/>
        <w:jc w:val="both"/>
        <w:rPr>
          <w:rFonts w:ascii="Times New Roman" w:eastAsia="Times New Roman" w:hAnsi="Times New Roman" w:cs="Times New Roman"/>
          <w:color w:val="000000"/>
          <w:sz w:val="24"/>
          <w:szCs w:val="24"/>
          <w:lang w:val="en" w:eastAsia="en-GB"/>
        </w:rPr>
      </w:pPr>
      <w:r w:rsidRPr="004A70DF">
        <w:rPr>
          <w:rFonts w:ascii="Times New Roman" w:eastAsia="Times New Roman" w:hAnsi="Times New Roman" w:cs="Times New Roman"/>
          <w:b/>
          <w:bCs/>
          <w:color w:val="000000"/>
          <w:sz w:val="24"/>
          <w:szCs w:val="24"/>
          <w:u w:val="single"/>
          <w:lang w:val="en" w:eastAsia="en-GB"/>
        </w:rPr>
        <w:t>Margaret Burns as executor of</w:t>
      </w:r>
      <w:r w:rsidRPr="004A70DF">
        <w:rPr>
          <w:rFonts w:ascii="Times New Roman" w:eastAsia="Times New Roman" w:hAnsi="Times New Roman" w:cs="Times New Roman"/>
          <w:color w:val="000000"/>
          <w:sz w:val="24"/>
          <w:szCs w:val="24"/>
          <w:u w:val="single"/>
          <w:lang w:val="en" w:eastAsia="en-GB"/>
        </w:rPr>
        <w:t xml:space="preserve"> </w:t>
      </w:r>
      <w:r w:rsidRPr="004A70DF">
        <w:rPr>
          <w:rFonts w:ascii="Times New Roman" w:eastAsia="Times New Roman" w:hAnsi="Times New Roman" w:cs="Times New Roman"/>
          <w:b/>
          <w:bCs/>
          <w:color w:val="000000"/>
          <w:sz w:val="24"/>
          <w:szCs w:val="24"/>
          <w:u w:val="single"/>
          <w:lang w:val="en" w:eastAsia="en-GB"/>
        </w:rPr>
        <w:t>Daisy Bean deceased v Karen Bean and others</w:t>
      </w:r>
      <w:r w:rsidRPr="00E56A12">
        <w:rPr>
          <w:rFonts w:ascii="Times New Roman" w:eastAsia="Times New Roman" w:hAnsi="Times New Roman" w:cs="Times New Roman"/>
          <w:b/>
          <w:bCs/>
          <w:color w:val="000000"/>
          <w:sz w:val="24"/>
          <w:szCs w:val="24"/>
          <w:lang w:val="en" w:eastAsia="en-GB"/>
        </w:rPr>
        <w:t xml:space="preserve"> </w:t>
      </w:r>
      <w:r>
        <w:rPr>
          <w:rFonts w:ascii="Times New Roman" w:eastAsia="Times New Roman" w:hAnsi="Times New Roman" w:cs="Times New Roman"/>
          <w:color w:val="000000"/>
          <w:sz w:val="24"/>
          <w:szCs w:val="24"/>
          <w:lang w:val="en" w:eastAsia="en-GB"/>
        </w:rPr>
        <w:t>[2021] EWHC 838 (Ch).  This is a decision of Master Clark.  The result of the expansion of the jurisdiction and the effective upgrading of Chancery Masters is that the Masters hear many more trials and they are much mor</w:t>
      </w:r>
      <w:r w:rsidR="00F97339">
        <w:rPr>
          <w:rFonts w:ascii="Times New Roman" w:eastAsia="Times New Roman" w:hAnsi="Times New Roman" w:cs="Times New Roman"/>
          <w:color w:val="000000"/>
          <w:sz w:val="24"/>
          <w:szCs w:val="24"/>
          <w:lang w:val="en" w:eastAsia="en-GB"/>
        </w:rPr>
        <w:t>e</w:t>
      </w:r>
      <w:r>
        <w:rPr>
          <w:rFonts w:ascii="Times New Roman" w:eastAsia="Times New Roman" w:hAnsi="Times New Roman" w:cs="Times New Roman"/>
          <w:color w:val="000000"/>
          <w:sz w:val="24"/>
          <w:szCs w:val="24"/>
          <w:lang w:val="en" w:eastAsia="en-GB"/>
        </w:rPr>
        <w:t xml:space="preserve"> widely reported.   This case involved an issue which is relatively common but one if put to a layman would likely produce a totally opposite result.  Clause 6 of Daisy Bean’s last will provided as follows: </w:t>
      </w:r>
      <w:r w:rsidRPr="00F97339">
        <w:rPr>
          <w:rFonts w:ascii="Times New Roman" w:eastAsia="Times New Roman" w:hAnsi="Times New Roman" w:cs="Times New Roman"/>
          <w:b/>
          <w:bCs/>
          <w:i/>
          <w:iCs/>
          <w:color w:val="000000"/>
          <w:sz w:val="24"/>
          <w:szCs w:val="24"/>
          <w:lang w:val="en" w:eastAsia="en-GB"/>
        </w:rPr>
        <w:t>“My Trustees shall then distribute the balance remaining [which I shall call my residuary estate”] equally among all of my children who are alive at my death”.</w:t>
      </w:r>
      <w:r w:rsidR="00F97339">
        <w:rPr>
          <w:rFonts w:ascii="Times New Roman" w:eastAsia="Times New Roman" w:hAnsi="Times New Roman" w:cs="Times New Roman"/>
          <w:color w:val="000000"/>
          <w:sz w:val="24"/>
          <w:szCs w:val="24"/>
          <w:lang w:val="en" w:eastAsia="en-GB"/>
        </w:rPr>
        <w:t xml:space="preserve"> </w:t>
      </w:r>
    </w:p>
    <w:p w14:paraId="42D825D4" w14:textId="23FC7BDB" w:rsidR="0082005B" w:rsidRDefault="00F97339" w:rsidP="00467D71">
      <w:pPr>
        <w:shd w:val="clear" w:color="auto" w:fill="FFFFFF"/>
        <w:spacing w:after="120" w:line="480" w:lineRule="auto"/>
        <w:ind w:left="45"/>
        <w:jc w:val="both"/>
        <w:rPr>
          <w:rFonts w:ascii="Times New Roman" w:eastAsia="Times New Roman" w:hAnsi="Times New Roman" w:cs="Times New Roman"/>
          <w:color w:val="000000"/>
          <w:sz w:val="24"/>
          <w:szCs w:val="24"/>
          <w:lang w:val="en" w:eastAsia="en-GB"/>
        </w:rPr>
      </w:pPr>
      <w:proofErr w:type="spellStart"/>
      <w:r>
        <w:rPr>
          <w:rFonts w:ascii="Times New Roman" w:eastAsia="Times New Roman" w:hAnsi="Times New Roman" w:cs="Times New Roman"/>
          <w:color w:val="000000"/>
          <w:sz w:val="24"/>
          <w:szCs w:val="24"/>
          <w:lang w:val="en" w:eastAsia="en-GB"/>
        </w:rPr>
        <w:lastRenderedPageBreak/>
        <w:t>Mrs</w:t>
      </w:r>
      <w:proofErr w:type="spellEnd"/>
      <w:r>
        <w:rPr>
          <w:rFonts w:ascii="Times New Roman" w:eastAsia="Times New Roman" w:hAnsi="Times New Roman" w:cs="Times New Roman"/>
          <w:color w:val="000000"/>
          <w:sz w:val="24"/>
          <w:szCs w:val="24"/>
          <w:lang w:val="en" w:eastAsia="en-GB"/>
        </w:rPr>
        <w:t xml:space="preserve"> Bean had four children but one, George, had died before her but after the making of the will.  </w:t>
      </w:r>
      <w:r w:rsidR="00CE0914">
        <w:rPr>
          <w:rFonts w:ascii="Times New Roman" w:eastAsia="Times New Roman" w:hAnsi="Times New Roman" w:cs="Times New Roman"/>
          <w:color w:val="000000"/>
          <w:sz w:val="24"/>
          <w:szCs w:val="24"/>
          <w:lang w:val="en" w:eastAsia="en-GB"/>
        </w:rPr>
        <w:t>George</w:t>
      </w:r>
      <w:r>
        <w:rPr>
          <w:rFonts w:ascii="Times New Roman" w:eastAsia="Times New Roman" w:hAnsi="Times New Roman" w:cs="Times New Roman"/>
          <w:color w:val="000000"/>
          <w:sz w:val="24"/>
          <w:szCs w:val="24"/>
          <w:lang w:val="en" w:eastAsia="en-GB"/>
        </w:rPr>
        <w:t xml:space="preserve"> had 5 children of whom some were minors and were represented by the first Defendant, and adult child of the deceased child. </w:t>
      </w:r>
    </w:p>
    <w:p w14:paraId="7E9C8404" w14:textId="0B06C24B" w:rsidR="00F97339" w:rsidRDefault="00F97339" w:rsidP="00467D71">
      <w:pPr>
        <w:shd w:val="clear" w:color="auto" w:fill="FFFFFF"/>
        <w:spacing w:after="120" w:line="480" w:lineRule="auto"/>
        <w:ind w:left="45"/>
        <w:jc w:val="both"/>
        <w:rPr>
          <w:rFonts w:ascii="Times New Roman" w:eastAsia="Times New Roman" w:hAnsi="Times New Roman" w:cs="Times New Roman"/>
          <w:color w:val="000000"/>
          <w:sz w:val="24"/>
          <w:szCs w:val="24"/>
          <w:lang w:val="en" w:eastAsia="en-GB"/>
        </w:rPr>
      </w:pPr>
      <w:r>
        <w:rPr>
          <w:rFonts w:ascii="Times New Roman" w:eastAsia="Times New Roman" w:hAnsi="Times New Roman" w:cs="Times New Roman"/>
          <w:color w:val="000000"/>
          <w:sz w:val="24"/>
          <w:szCs w:val="24"/>
          <w:lang w:val="en" w:eastAsia="en-GB"/>
        </w:rPr>
        <w:t xml:space="preserve">The question was whether the residuary estate was to be divided between the three children of </w:t>
      </w:r>
      <w:proofErr w:type="spellStart"/>
      <w:r>
        <w:rPr>
          <w:rFonts w:ascii="Times New Roman" w:eastAsia="Times New Roman" w:hAnsi="Times New Roman" w:cs="Times New Roman"/>
          <w:color w:val="000000"/>
          <w:sz w:val="24"/>
          <w:szCs w:val="24"/>
          <w:lang w:val="en" w:eastAsia="en-GB"/>
        </w:rPr>
        <w:t>Mrs</w:t>
      </w:r>
      <w:proofErr w:type="spellEnd"/>
      <w:r>
        <w:rPr>
          <w:rFonts w:ascii="Times New Roman" w:eastAsia="Times New Roman" w:hAnsi="Times New Roman" w:cs="Times New Roman"/>
          <w:color w:val="000000"/>
          <w:sz w:val="24"/>
          <w:szCs w:val="24"/>
          <w:lang w:val="en" w:eastAsia="en-GB"/>
        </w:rPr>
        <w:t xml:space="preserve"> Bean who survived her or between the three surviving children plus George’s children in substitution for George. </w:t>
      </w:r>
    </w:p>
    <w:p w14:paraId="187FFA3E" w14:textId="77777777" w:rsidR="00F97339" w:rsidRDefault="00F97339" w:rsidP="00467D71">
      <w:pPr>
        <w:shd w:val="clear" w:color="auto" w:fill="FFFFFF"/>
        <w:spacing w:after="120" w:line="480" w:lineRule="auto"/>
        <w:ind w:left="45"/>
        <w:jc w:val="both"/>
        <w:rPr>
          <w:rFonts w:ascii="Times New Roman" w:eastAsia="Times New Roman" w:hAnsi="Times New Roman" w:cs="Times New Roman"/>
          <w:color w:val="000000"/>
          <w:sz w:val="24"/>
          <w:szCs w:val="24"/>
          <w:lang w:val="en" w:eastAsia="en-GB"/>
        </w:rPr>
      </w:pPr>
      <w:r>
        <w:rPr>
          <w:rFonts w:ascii="Times New Roman" w:eastAsia="Times New Roman" w:hAnsi="Times New Roman" w:cs="Times New Roman"/>
          <w:color w:val="000000"/>
          <w:sz w:val="24"/>
          <w:szCs w:val="24"/>
          <w:lang w:val="en" w:eastAsia="en-GB"/>
        </w:rPr>
        <w:t xml:space="preserve">This is not just a simple question of construction of the words used but of those words used in the context of section 33(2) of the Wills Act 1837. This provides as follows: </w:t>
      </w:r>
    </w:p>
    <w:p w14:paraId="7B2ADCF5" w14:textId="77777777" w:rsidR="00F97339" w:rsidRPr="00F97339" w:rsidRDefault="00F97339" w:rsidP="00467D71">
      <w:pPr>
        <w:pStyle w:val="Heading2"/>
        <w:spacing w:before="0" w:after="120" w:line="480" w:lineRule="auto"/>
        <w:rPr>
          <w:rFonts w:ascii="Times New Roman" w:eastAsia="Times New Roman" w:hAnsi="Times New Roman" w:cs="Times New Roman"/>
          <w:b/>
          <w:bCs/>
          <w:i/>
          <w:iCs/>
          <w:color w:val="000000"/>
          <w:sz w:val="24"/>
          <w:szCs w:val="24"/>
          <w:lang w:eastAsia="en-GB"/>
        </w:rPr>
      </w:pPr>
      <w:r>
        <w:rPr>
          <w:rFonts w:ascii="Times New Roman" w:eastAsia="Times New Roman" w:hAnsi="Times New Roman" w:cs="Times New Roman"/>
          <w:color w:val="000000"/>
          <w:sz w:val="24"/>
          <w:szCs w:val="24"/>
          <w:lang w:val="en" w:eastAsia="en-GB"/>
        </w:rPr>
        <w:t xml:space="preserve"> </w:t>
      </w:r>
      <w:r w:rsidRPr="00F97339">
        <w:rPr>
          <w:rFonts w:ascii="Arial" w:eastAsia="Times New Roman" w:hAnsi="Arial" w:cs="Arial"/>
          <w:b/>
          <w:bCs/>
          <w:color w:val="000000"/>
          <w:sz w:val="19"/>
          <w:szCs w:val="19"/>
          <w:lang w:eastAsia="en-GB"/>
        </w:rPr>
        <w:br/>
      </w:r>
      <w:r w:rsidRPr="00F97339">
        <w:rPr>
          <w:rFonts w:ascii="Times New Roman" w:eastAsia="Times New Roman" w:hAnsi="Times New Roman" w:cs="Times New Roman"/>
          <w:b/>
          <w:bCs/>
          <w:i/>
          <w:iCs/>
          <w:color w:val="000000"/>
          <w:sz w:val="24"/>
          <w:szCs w:val="24"/>
          <w:lang w:eastAsia="en-GB"/>
        </w:rPr>
        <w:t>Gifts to children or other issue who leave issue living at the testator’s death shall not lapse.</w:t>
      </w:r>
    </w:p>
    <w:p w14:paraId="366B9AAB" w14:textId="1E97B0D1" w:rsidR="00F97339" w:rsidRPr="00F97339" w:rsidRDefault="00F97339" w:rsidP="00467D71">
      <w:pPr>
        <w:shd w:val="clear" w:color="auto" w:fill="FFFFFF"/>
        <w:spacing w:after="120" w:line="480" w:lineRule="auto"/>
        <w:rPr>
          <w:rFonts w:ascii="Times New Roman" w:eastAsia="Times New Roman" w:hAnsi="Times New Roman" w:cs="Times New Roman"/>
          <w:i/>
          <w:iCs/>
          <w:color w:val="000000"/>
          <w:sz w:val="24"/>
          <w:szCs w:val="24"/>
          <w:lang w:eastAsia="en-GB"/>
        </w:rPr>
      </w:pPr>
      <w:r w:rsidRPr="00F97339">
        <w:rPr>
          <w:rFonts w:ascii="Times New Roman" w:eastAsia="Times New Roman" w:hAnsi="Times New Roman" w:cs="Times New Roman"/>
          <w:i/>
          <w:iCs/>
          <w:color w:val="000000"/>
          <w:sz w:val="24"/>
          <w:szCs w:val="24"/>
          <w:lang w:eastAsia="en-GB"/>
        </w:rPr>
        <w:t>(1)</w:t>
      </w:r>
      <w:r w:rsidR="00CE0914">
        <w:rPr>
          <w:rFonts w:ascii="Times New Roman" w:eastAsia="Times New Roman" w:hAnsi="Times New Roman" w:cs="Times New Roman"/>
          <w:i/>
          <w:iCs/>
          <w:color w:val="000000"/>
          <w:sz w:val="24"/>
          <w:szCs w:val="24"/>
          <w:lang w:eastAsia="en-GB"/>
        </w:rPr>
        <w:tab/>
      </w:r>
      <w:r w:rsidRPr="00F97339">
        <w:rPr>
          <w:rFonts w:ascii="Times New Roman" w:eastAsia="Times New Roman" w:hAnsi="Times New Roman" w:cs="Times New Roman"/>
          <w:i/>
          <w:iCs/>
          <w:color w:val="000000"/>
          <w:sz w:val="24"/>
          <w:szCs w:val="24"/>
          <w:lang w:eastAsia="en-GB"/>
        </w:rPr>
        <w:t>Where—</w:t>
      </w:r>
    </w:p>
    <w:p w14:paraId="59195448" w14:textId="3C67037D" w:rsidR="00F97339" w:rsidRPr="00F97339" w:rsidRDefault="00F97339" w:rsidP="00467D71">
      <w:pPr>
        <w:shd w:val="clear" w:color="auto" w:fill="FFFFFF"/>
        <w:spacing w:after="120" w:line="480" w:lineRule="auto"/>
        <w:ind w:left="1440" w:hanging="720"/>
        <w:rPr>
          <w:rFonts w:ascii="Times New Roman" w:eastAsia="Times New Roman" w:hAnsi="Times New Roman" w:cs="Times New Roman"/>
          <w:i/>
          <w:iCs/>
          <w:color w:val="000000"/>
          <w:sz w:val="24"/>
          <w:szCs w:val="24"/>
          <w:lang w:eastAsia="en-GB"/>
        </w:rPr>
      </w:pPr>
      <w:r w:rsidRPr="00F97339">
        <w:rPr>
          <w:rFonts w:ascii="Times New Roman" w:eastAsia="Times New Roman" w:hAnsi="Times New Roman" w:cs="Times New Roman"/>
          <w:i/>
          <w:iCs/>
          <w:color w:val="000000"/>
          <w:sz w:val="24"/>
          <w:szCs w:val="24"/>
          <w:lang w:eastAsia="en-GB"/>
        </w:rPr>
        <w:t>(a)</w:t>
      </w:r>
      <w:r w:rsidR="00CE0914">
        <w:rPr>
          <w:rFonts w:ascii="Times New Roman" w:eastAsia="Times New Roman" w:hAnsi="Times New Roman" w:cs="Times New Roman"/>
          <w:i/>
          <w:iCs/>
          <w:color w:val="000000"/>
          <w:sz w:val="24"/>
          <w:szCs w:val="24"/>
          <w:lang w:eastAsia="en-GB"/>
        </w:rPr>
        <w:tab/>
      </w:r>
      <w:r>
        <w:rPr>
          <w:rFonts w:ascii="Times New Roman" w:eastAsia="Times New Roman" w:hAnsi="Times New Roman" w:cs="Times New Roman"/>
          <w:i/>
          <w:iCs/>
          <w:color w:val="000000"/>
          <w:sz w:val="24"/>
          <w:szCs w:val="24"/>
          <w:lang w:eastAsia="en-GB"/>
        </w:rPr>
        <w:t xml:space="preserve"> </w:t>
      </w:r>
      <w:r w:rsidRPr="00F97339">
        <w:rPr>
          <w:rFonts w:ascii="Times New Roman" w:eastAsia="Times New Roman" w:hAnsi="Times New Roman" w:cs="Times New Roman"/>
          <w:i/>
          <w:iCs/>
          <w:color w:val="000000"/>
          <w:sz w:val="24"/>
          <w:szCs w:val="24"/>
          <w:lang w:eastAsia="en-GB"/>
        </w:rPr>
        <w:t>a will contains a devise or bequest to a child or remoter descendant of the testator; and</w:t>
      </w:r>
    </w:p>
    <w:p w14:paraId="3BC336E8" w14:textId="56FDA9C7" w:rsidR="00F97339" w:rsidRPr="00F97339" w:rsidRDefault="00F97339" w:rsidP="00467D71">
      <w:pPr>
        <w:shd w:val="clear" w:color="auto" w:fill="FFFFFF"/>
        <w:spacing w:after="120" w:line="480" w:lineRule="auto"/>
        <w:ind w:firstLine="720"/>
        <w:rPr>
          <w:rFonts w:ascii="Times New Roman" w:eastAsia="Times New Roman" w:hAnsi="Times New Roman" w:cs="Times New Roman"/>
          <w:i/>
          <w:iCs/>
          <w:color w:val="000000"/>
          <w:sz w:val="24"/>
          <w:szCs w:val="24"/>
          <w:lang w:eastAsia="en-GB"/>
        </w:rPr>
      </w:pPr>
      <w:r w:rsidRPr="00F97339">
        <w:rPr>
          <w:rFonts w:ascii="Times New Roman" w:eastAsia="Times New Roman" w:hAnsi="Times New Roman" w:cs="Times New Roman"/>
          <w:i/>
          <w:iCs/>
          <w:color w:val="000000"/>
          <w:sz w:val="24"/>
          <w:szCs w:val="24"/>
          <w:lang w:eastAsia="en-GB"/>
        </w:rPr>
        <w:t>(b)</w:t>
      </w:r>
      <w:r>
        <w:rPr>
          <w:rFonts w:ascii="Times New Roman" w:eastAsia="Times New Roman" w:hAnsi="Times New Roman" w:cs="Times New Roman"/>
          <w:i/>
          <w:iCs/>
          <w:color w:val="000000"/>
          <w:sz w:val="24"/>
          <w:szCs w:val="24"/>
          <w:lang w:eastAsia="en-GB"/>
        </w:rPr>
        <w:t xml:space="preserve"> </w:t>
      </w:r>
      <w:r w:rsidR="00CE0914">
        <w:rPr>
          <w:rFonts w:ascii="Times New Roman" w:eastAsia="Times New Roman" w:hAnsi="Times New Roman" w:cs="Times New Roman"/>
          <w:i/>
          <w:iCs/>
          <w:color w:val="000000"/>
          <w:sz w:val="24"/>
          <w:szCs w:val="24"/>
          <w:lang w:eastAsia="en-GB"/>
        </w:rPr>
        <w:tab/>
      </w:r>
      <w:r w:rsidRPr="00F97339">
        <w:rPr>
          <w:rFonts w:ascii="Times New Roman" w:eastAsia="Times New Roman" w:hAnsi="Times New Roman" w:cs="Times New Roman"/>
          <w:i/>
          <w:iCs/>
          <w:color w:val="000000"/>
          <w:sz w:val="24"/>
          <w:szCs w:val="24"/>
          <w:lang w:eastAsia="en-GB"/>
        </w:rPr>
        <w:t>the intended beneficiary dies before the testator, leaving issue; and</w:t>
      </w:r>
    </w:p>
    <w:p w14:paraId="4B1E3993" w14:textId="5C670930" w:rsidR="00F97339" w:rsidRPr="00F97339" w:rsidRDefault="00F97339" w:rsidP="00467D71">
      <w:pPr>
        <w:shd w:val="clear" w:color="auto" w:fill="FFFFFF"/>
        <w:spacing w:after="120" w:line="480" w:lineRule="auto"/>
        <w:ind w:firstLine="720"/>
        <w:rPr>
          <w:rFonts w:ascii="Times New Roman" w:eastAsia="Times New Roman" w:hAnsi="Times New Roman" w:cs="Times New Roman"/>
          <w:i/>
          <w:iCs/>
          <w:color w:val="000000"/>
          <w:sz w:val="24"/>
          <w:szCs w:val="24"/>
          <w:lang w:eastAsia="en-GB"/>
        </w:rPr>
      </w:pPr>
      <w:r w:rsidRPr="00F97339">
        <w:rPr>
          <w:rFonts w:ascii="Times New Roman" w:eastAsia="Times New Roman" w:hAnsi="Times New Roman" w:cs="Times New Roman"/>
          <w:i/>
          <w:iCs/>
          <w:color w:val="000000"/>
          <w:sz w:val="24"/>
          <w:szCs w:val="24"/>
          <w:lang w:eastAsia="en-GB"/>
        </w:rPr>
        <w:t>(c)</w:t>
      </w:r>
      <w:r>
        <w:rPr>
          <w:rFonts w:ascii="Times New Roman" w:eastAsia="Times New Roman" w:hAnsi="Times New Roman" w:cs="Times New Roman"/>
          <w:i/>
          <w:iCs/>
          <w:color w:val="000000"/>
          <w:sz w:val="24"/>
          <w:szCs w:val="24"/>
          <w:lang w:eastAsia="en-GB"/>
        </w:rPr>
        <w:t xml:space="preserve"> </w:t>
      </w:r>
      <w:r w:rsidR="00CE0914">
        <w:rPr>
          <w:rFonts w:ascii="Times New Roman" w:eastAsia="Times New Roman" w:hAnsi="Times New Roman" w:cs="Times New Roman"/>
          <w:i/>
          <w:iCs/>
          <w:color w:val="000000"/>
          <w:sz w:val="24"/>
          <w:szCs w:val="24"/>
          <w:lang w:eastAsia="en-GB"/>
        </w:rPr>
        <w:tab/>
      </w:r>
      <w:r w:rsidRPr="00F97339">
        <w:rPr>
          <w:rFonts w:ascii="Times New Roman" w:eastAsia="Times New Roman" w:hAnsi="Times New Roman" w:cs="Times New Roman"/>
          <w:i/>
          <w:iCs/>
          <w:color w:val="000000"/>
          <w:sz w:val="24"/>
          <w:szCs w:val="24"/>
          <w:lang w:eastAsia="en-GB"/>
        </w:rPr>
        <w:t>issue of the intended beneficiary are living at the testator’s death,</w:t>
      </w:r>
    </w:p>
    <w:p w14:paraId="61938754" w14:textId="77777777" w:rsidR="00F97339" w:rsidRPr="00F97339" w:rsidRDefault="00F97339" w:rsidP="00467D71">
      <w:pPr>
        <w:shd w:val="clear" w:color="auto" w:fill="FFFFFF"/>
        <w:spacing w:after="120" w:line="480" w:lineRule="auto"/>
        <w:ind w:left="720"/>
        <w:jc w:val="both"/>
        <w:rPr>
          <w:rFonts w:ascii="Times New Roman" w:eastAsia="Times New Roman" w:hAnsi="Times New Roman" w:cs="Times New Roman"/>
          <w:i/>
          <w:iCs/>
          <w:color w:val="000000"/>
          <w:sz w:val="24"/>
          <w:szCs w:val="24"/>
          <w:lang w:eastAsia="en-GB"/>
        </w:rPr>
      </w:pPr>
      <w:r w:rsidRPr="00F97339">
        <w:rPr>
          <w:rFonts w:ascii="Times New Roman" w:eastAsia="Times New Roman" w:hAnsi="Times New Roman" w:cs="Times New Roman"/>
          <w:i/>
          <w:iCs/>
          <w:color w:val="000000"/>
          <w:sz w:val="24"/>
          <w:szCs w:val="24"/>
          <w:lang w:eastAsia="en-GB"/>
        </w:rPr>
        <w:t>then, unless a contrary intention appears by the will, the devise or bequest shall take effect as a devise or bequest to the issue living at the testator’s death.</w:t>
      </w:r>
    </w:p>
    <w:p w14:paraId="73BB93EE" w14:textId="587569DC" w:rsidR="00F97339" w:rsidRPr="00F97339" w:rsidRDefault="00F97339" w:rsidP="00467D71">
      <w:pPr>
        <w:shd w:val="clear" w:color="auto" w:fill="FFFFFF"/>
        <w:spacing w:after="120" w:line="480" w:lineRule="auto"/>
        <w:rPr>
          <w:rFonts w:ascii="Times New Roman" w:eastAsia="Times New Roman" w:hAnsi="Times New Roman" w:cs="Times New Roman"/>
          <w:i/>
          <w:iCs/>
          <w:color w:val="000000"/>
          <w:sz w:val="24"/>
          <w:szCs w:val="24"/>
          <w:lang w:eastAsia="en-GB"/>
        </w:rPr>
      </w:pPr>
      <w:r w:rsidRPr="00F97339">
        <w:rPr>
          <w:rFonts w:ascii="Times New Roman" w:eastAsia="Times New Roman" w:hAnsi="Times New Roman" w:cs="Times New Roman"/>
          <w:i/>
          <w:iCs/>
          <w:color w:val="000000"/>
          <w:sz w:val="24"/>
          <w:szCs w:val="24"/>
          <w:lang w:eastAsia="en-GB"/>
        </w:rPr>
        <w:t>(2</w:t>
      </w:r>
      <w:r w:rsidR="004A70DF">
        <w:rPr>
          <w:rFonts w:ascii="Times New Roman" w:eastAsia="Times New Roman" w:hAnsi="Times New Roman" w:cs="Times New Roman"/>
          <w:i/>
          <w:iCs/>
          <w:color w:val="000000"/>
          <w:sz w:val="24"/>
          <w:szCs w:val="24"/>
          <w:lang w:eastAsia="en-GB"/>
        </w:rPr>
        <w:t>)</w:t>
      </w:r>
      <w:r w:rsidR="004A70DF">
        <w:rPr>
          <w:rFonts w:ascii="Times New Roman" w:eastAsia="Times New Roman" w:hAnsi="Times New Roman" w:cs="Times New Roman"/>
          <w:i/>
          <w:iCs/>
          <w:color w:val="000000"/>
          <w:sz w:val="24"/>
          <w:szCs w:val="24"/>
          <w:lang w:eastAsia="en-GB"/>
        </w:rPr>
        <w:tab/>
      </w:r>
      <w:r w:rsidRPr="00F97339">
        <w:rPr>
          <w:rFonts w:ascii="Times New Roman" w:eastAsia="Times New Roman" w:hAnsi="Times New Roman" w:cs="Times New Roman"/>
          <w:i/>
          <w:iCs/>
          <w:color w:val="000000"/>
          <w:sz w:val="24"/>
          <w:szCs w:val="24"/>
          <w:lang w:eastAsia="en-GB"/>
        </w:rPr>
        <w:t>Where—</w:t>
      </w:r>
    </w:p>
    <w:p w14:paraId="7E26F94F" w14:textId="439D4229" w:rsidR="00F97339" w:rsidRPr="00F97339" w:rsidRDefault="00F97339" w:rsidP="00467D71">
      <w:pPr>
        <w:shd w:val="clear" w:color="auto" w:fill="FFFFFF"/>
        <w:spacing w:after="120" w:line="480" w:lineRule="auto"/>
        <w:ind w:left="1440" w:hanging="720"/>
        <w:rPr>
          <w:rFonts w:ascii="Times New Roman" w:eastAsia="Times New Roman" w:hAnsi="Times New Roman" w:cs="Times New Roman"/>
          <w:i/>
          <w:iCs/>
          <w:color w:val="000000"/>
          <w:sz w:val="24"/>
          <w:szCs w:val="24"/>
          <w:lang w:eastAsia="en-GB"/>
        </w:rPr>
      </w:pPr>
      <w:r w:rsidRPr="00F97339">
        <w:rPr>
          <w:rFonts w:ascii="Times New Roman" w:eastAsia="Times New Roman" w:hAnsi="Times New Roman" w:cs="Times New Roman"/>
          <w:i/>
          <w:iCs/>
          <w:color w:val="000000"/>
          <w:sz w:val="24"/>
          <w:szCs w:val="24"/>
          <w:lang w:eastAsia="en-GB"/>
        </w:rPr>
        <w:t>(a)</w:t>
      </w:r>
      <w:r>
        <w:rPr>
          <w:rFonts w:ascii="Times New Roman" w:eastAsia="Times New Roman" w:hAnsi="Times New Roman" w:cs="Times New Roman"/>
          <w:i/>
          <w:iCs/>
          <w:color w:val="000000"/>
          <w:sz w:val="24"/>
          <w:szCs w:val="24"/>
          <w:lang w:eastAsia="en-GB"/>
        </w:rPr>
        <w:t xml:space="preserve"> </w:t>
      </w:r>
      <w:r w:rsidR="00CE0914">
        <w:rPr>
          <w:rFonts w:ascii="Times New Roman" w:eastAsia="Times New Roman" w:hAnsi="Times New Roman" w:cs="Times New Roman"/>
          <w:i/>
          <w:iCs/>
          <w:color w:val="000000"/>
          <w:sz w:val="24"/>
          <w:szCs w:val="24"/>
          <w:lang w:eastAsia="en-GB"/>
        </w:rPr>
        <w:tab/>
      </w:r>
      <w:r w:rsidRPr="00F97339">
        <w:rPr>
          <w:rFonts w:ascii="Times New Roman" w:eastAsia="Times New Roman" w:hAnsi="Times New Roman" w:cs="Times New Roman"/>
          <w:i/>
          <w:iCs/>
          <w:color w:val="000000"/>
          <w:sz w:val="24"/>
          <w:szCs w:val="24"/>
          <w:lang w:eastAsia="en-GB"/>
        </w:rPr>
        <w:t>a will contains a devise or bequest to a class of persons consisting of children or remoter descendants of the testator; and</w:t>
      </w:r>
    </w:p>
    <w:p w14:paraId="3837429C" w14:textId="54667F4A" w:rsidR="00F97339" w:rsidRPr="00F97339" w:rsidRDefault="00F97339" w:rsidP="00467D71">
      <w:pPr>
        <w:shd w:val="clear" w:color="auto" w:fill="FFFFFF"/>
        <w:spacing w:after="120" w:line="480" w:lineRule="auto"/>
        <w:ind w:firstLine="720"/>
        <w:rPr>
          <w:rFonts w:ascii="Times New Roman" w:eastAsia="Times New Roman" w:hAnsi="Times New Roman" w:cs="Times New Roman"/>
          <w:i/>
          <w:iCs/>
          <w:color w:val="000000"/>
          <w:sz w:val="24"/>
          <w:szCs w:val="24"/>
          <w:lang w:eastAsia="en-GB"/>
        </w:rPr>
      </w:pPr>
      <w:r w:rsidRPr="00F97339">
        <w:rPr>
          <w:rFonts w:ascii="Times New Roman" w:eastAsia="Times New Roman" w:hAnsi="Times New Roman" w:cs="Times New Roman"/>
          <w:i/>
          <w:iCs/>
          <w:color w:val="000000"/>
          <w:sz w:val="24"/>
          <w:szCs w:val="24"/>
          <w:lang w:eastAsia="en-GB"/>
        </w:rPr>
        <w:t>(b)</w:t>
      </w:r>
      <w:r>
        <w:rPr>
          <w:rFonts w:ascii="Times New Roman" w:eastAsia="Times New Roman" w:hAnsi="Times New Roman" w:cs="Times New Roman"/>
          <w:i/>
          <w:iCs/>
          <w:color w:val="000000"/>
          <w:sz w:val="24"/>
          <w:szCs w:val="24"/>
          <w:lang w:eastAsia="en-GB"/>
        </w:rPr>
        <w:t xml:space="preserve"> </w:t>
      </w:r>
      <w:r w:rsidR="00CE0914">
        <w:rPr>
          <w:rFonts w:ascii="Times New Roman" w:eastAsia="Times New Roman" w:hAnsi="Times New Roman" w:cs="Times New Roman"/>
          <w:i/>
          <w:iCs/>
          <w:color w:val="000000"/>
          <w:sz w:val="24"/>
          <w:szCs w:val="24"/>
          <w:lang w:eastAsia="en-GB"/>
        </w:rPr>
        <w:tab/>
      </w:r>
      <w:r w:rsidRPr="00F97339">
        <w:rPr>
          <w:rFonts w:ascii="Times New Roman" w:eastAsia="Times New Roman" w:hAnsi="Times New Roman" w:cs="Times New Roman"/>
          <w:i/>
          <w:iCs/>
          <w:color w:val="000000"/>
          <w:sz w:val="24"/>
          <w:szCs w:val="24"/>
          <w:lang w:eastAsia="en-GB"/>
        </w:rPr>
        <w:t>a member of the class dies before the testator, leaving issue; and</w:t>
      </w:r>
    </w:p>
    <w:p w14:paraId="3B033EB4" w14:textId="7B2E2B65" w:rsidR="00F97339" w:rsidRPr="00F97339" w:rsidRDefault="00F97339" w:rsidP="00467D71">
      <w:pPr>
        <w:shd w:val="clear" w:color="auto" w:fill="FFFFFF"/>
        <w:spacing w:after="120" w:line="480" w:lineRule="auto"/>
        <w:ind w:firstLine="720"/>
        <w:rPr>
          <w:rFonts w:ascii="Times New Roman" w:eastAsia="Times New Roman" w:hAnsi="Times New Roman" w:cs="Times New Roman"/>
          <w:i/>
          <w:iCs/>
          <w:color w:val="000000"/>
          <w:sz w:val="24"/>
          <w:szCs w:val="24"/>
          <w:lang w:eastAsia="en-GB"/>
        </w:rPr>
      </w:pPr>
      <w:r w:rsidRPr="00F97339">
        <w:rPr>
          <w:rFonts w:ascii="Times New Roman" w:eastAsia="Times New Roman" w:hAnsi="Times New Roman" w:cs="Times New Roman"/>
          <w:i/>
          <w:iCs/>
          <w:color w:val="000000"/>
          <w:sz w:val="24"/>
          <w:szCs w:val="24"/>
          <w:lang w:eastAsia="en-GB"/>
        </w:rPr>
        <w:t>(c)</w:t>
      </w:r>
      <w:r>
        <w:rPr>
          <w:rFonts w:ascii="Times New Roman" w:eastAsia="Times New Roman" w:hAnsi="Times New Roman" w:cs="Times New Roman"/>
          <w:i/>
          <w:iCs/>
          <w:color w:val="000000"/>
          <w:sz w:val="24"/>
          <w:szCs w:val="24"/>
          <w:lang w:eastAsia="en-GB"/>
        </w:rPr>
        <w:t xml:space="preserve"> </w:t>
      </w:r>
      <w:r w:rsidR="00CE0914">
        <w:rPr>
          <w:rFonts w:ascii="Times New Roman" w:eastAsia="Times New Roman" w:hAnsi="Times New Roman" w:cs="Times New Roman"/>
          <w:i/>
          <w:iCs/>
          <w:color w:val="000000"/>
          <w:sz w:val="24"/>
          <w:szCs w:val="24"/>
          <w:lang w:eastAsia="en-GB"/>
        </w:rPr>
        <w:tab/>
      </w:r>
      <w:r w:rsidRPr="00F97339">
        <w:rPr>
          <w:rFonts w:ascii="Times New Roman" w:eastAsia="Times New Roman" w:hAnsi="Times New Roman" w:cs="Times New Roman"/>
          <w:i/>
          <w:iCs/>
          <w:color w:val="000000"/>
          <w:sz w:val="24"/>
          <w:szCs w:val="24"/>
          <w:lang w:eastAsia="en-GB"/>
        </w:rPr>
        <w:t>issue of that member are living at the testator’s death,</w:t>
      </w:r>
    </w:p>
    <w:p w14:paraId="068945AD" w14:textId="77777777" w:rsidR="00F97339" w:rsidRPr="00F97339" w:rsidRDefault="00F97339" w:rsidP="00467D71">
      <w:pPr>
        <w:shd w:val="clear" w:color="auto" w:fill="FFFFFF"/>
        <w:spacing w:after="120" w:line="480" w:lineRule="auto"/>
        <w:ind w:left="720"/>
        <w:jc w:val="both"/>
        <w:rPr>
          <w:rFonts w:ascii="Times New Roman" w:eastAsia="Times New Roman" w:hAnsi="Times New Roman" w:cs="Times New Roman"/>
          <w:i/>
          <w:iCs/>
          <w:color w:val="000000"/>
          <w:sz w:val="24"/>
          <w:szCs w:val="24"/>
          <w:lang w:eastAsia="en-GB"/>
        </w:rPr>
      </w:pPr>
      <w:r w:rsidRPr="00F97339">
        <w:rPr>
          <w:rFonts w:ascii="Times New Roman" w:eastAsia="Times New Roman" w:hAnsi="Times New Roman" w:cs="Times New Roman"/>
          <w:i/>
          <w:iCs/>
          <w:color w:val="000000"/>
          <w:sz w:val="24"/>
          <w:szCs w:val="24"/>
          <w:lang w:eastAsia="en-GB"/>
        </w:rPr>
        <w:lastRenderedPageBreak/>
        <w:t>then, unless a contrary intention appears by the will, the devise or bequest shall take effect as if the class included the issue of its deceased member living at the testator’s death.</w:t>
      </w:r>
    </w:p>
    <w:p w14:paraId="5B42BFDC" w14:textId="3543C903" w:rsidR="00F97339" w:rsidRDefault="00F97339" w:rsidP="00467D71">
      <w:pPr>
        <w:shd w:val="clear" w:color="auto" w:fill="FFFFFF"/>
        <w:spacing w:after="120" w:line="480" w:lineRule="auto"/>
        <w:ind w:left="720" w:hanging="720"/>
        <w:rPr>
          <w:rFonts w:ascii="Times New Roman" w:eastAsia="Times New Roman" w:hAnsi="Times New Roman" w:cs="Times New Roman"/>
          <w:i/>
          <w:iCs/>
          <w:color w:val="000000"/>
          <w:sz w:val="24"/>
          <w:szCs w:val="24"/>
          <w:lang w:eastAsia="en-GB"/>
        </w:rPr>
      </w:pPr>
      <w:r w:rsidRPr="00F97339">
        <w:rPr>
          <w:rFonts w:ascii="Times New Roman" w:eastAsia="Times New Roman" w:hAnsi="Times New Roman" w:cs="Times New Roman"/>
          <w:i/>
          <w:iCs/>
          <w:color w:val="000000"/>
          <w:sz w:val="24"/>
          <w:szCs w:val="24"/>
          <w:lang w:eastAsia="en-GB"/>
        </w:rPr>
        <w:t>(3)</w:t>
      </w:r>
      <w:r>
        <w:rPr>
          <w:rFonts w:ascii="Times New Roman" w:eastAsia="Times New Roman" w:hAnsi="Times New Roman" w:cs="Times New Roman"/>
          <w:i/>
          <w:iCs/>
          <w:color w:val="000000"/>
          <w:sz w:val="24"/>
          <w:szCs w:val="24"/>
          <w:lang w:eastAsia="en-GB"/>
        </w:rPr>
        <w:t xml:space="preserve"> </w:t>
      </w:r>
      <w:r w:rsidR="00CE0914">
        <w:rPr>
          <w:rFonts w:ascii="Times New Roman" w:eastAsia="Times New Roman" w:hAnsi="Times New Roman" w:cs="Times New Roman"/>
          <w:i/>
          <w:iCs/>
          <w:color w:val="000000"/>
          <w:sz w:val="24"/>
          <w:szCs w:val="24"/>
          <w:lang w:eastAsia="en-GB"/>
        </w:rPr>
        <w:tab/>
      </w:r>
      <w:r w:rsidRPr="00F97339">
        <w:rPr>
          <w:rFonts w:ascii="Times New Roman" w:eastAsia="Times New Roman" w:hAnsi="Times New Roman" w:cs="Times New Roman"/>
          <w:i/>
          <w:iCs/>
          <w:color w:val="000000"/>
          <w:sz w:val="24"/>
          <w:szCs w:val="24"/>
          <w:lang w:eastAsia="en-GB"/>
        </w:rPr>
        <w:t>Issue shall take under this section through all degrees, according to their stock, in equal shares if more than one, any gift or share which their parent would have taken and so that  (subject to section 33A)no issue shall take whose parent is living at the testator’s death and so capable of taking.</w:t>
      </w:r>
    </w:p>
    <w:p w14:paraId="15AAB8EB" w14:textId="725CCCBD" w:rsidR="00F97339" w:rsidRDefault="00F97339" w:rsidP="00467D71">
      <w:pPr>
        <w:shd w:val="clear" w:color="auto" w:fill="FFFFFF"/>
        <w:spacing w:after="12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In the Burns case it was primarily section 33(2) which </w:t>
      </w:r>
      <w:r w:rsidR="003D087D">
        <w:rPr>
          <w:rFonts w:ascii="Times New Roman" w:eastAsia="Times New Roman" w:hAnsi="Times New Roman" w:cs="Times New Roman"/>
          <w:color w:val="000000"/>
          <w:sz w:val="24"/>
          <w:szCs w:val="24"/>
          <w:lang w:eastAsia="en-GB"/>
        </w:rPr>
        <w:t>could apply</w:t>
      </w:r>
      <w:r>
        <w:rPr>
          <w:rFonts w:ascii="Times New Roman" w:eastAsia="Times New Roman" w:hAnsi="Times New Roman" w:cs="Times New Roman"/>
          <w:color w:val="000000"/>
          <w:sz w:val="24"/>
          <w:szCs w:val="24"/>
          <w:lang w:eastAsia="en-GB"/>
        </w:rPr>
        <w:t>.  The question for the Master was whether the w</w:t>
      </w:r>
      <w:r w:rsidR="008F4680">
        <w:rPr>
          <w:rFonts w:ascii="Times New Roman" w:eastAsia="Times New Roman" w:hAnsi="Times New Roman" w:cs="Times New Roman"/>
          <w:color w:val="000000"/>
          <w:sz w:val="24"/>
          <w:szCs w:val="24"/>
          <w:lang w:eastAsia="en-GB"/>
        </w:rPr>
        <w:t>o</w:t>
      </w:r>
      <w:r>
        <w:rPr>
          <w:rFonts w:ascii="Times New Roman" w:eastAsia="Times New Roman" w:hAnsi="Times New Roman" w:cs="Times New Roman"/>
          <w:color w:val="000000"/>
          <w:sz w:val="24"/>
          <w:szCs w:val="24"/>
          <w:lang w:eastAsia="en-GB"/>
        </w:rPr>
        <w:t xml:space="preserve">rds used in the </w:t>
      </w:r>
      <w:r w:rsidR="008F4680">
        <w:rPr>
          <w:rFonts w:ascii="Times New Roman" w:eastAsia="Times New Roman" w:hAnsi="Times New Roman" w:cs="Times New Roman"/>
          <w:color w:val="000000"/>
          <w:sz w:val="24"/>
          <w:szCs w:val="24"/>
          <w:lang w:eastAsia="en-GB"/>
        </w:rPr>
        <w:t>Wi</w:t>
      </w:r>
      <w:r>
        <w:rPr>
          <w:rFonts w:ascii="Times New Roman" w:eastAsia="Times New Roman" w:hAnsi="Times New Roman" w:cs="Times New Roman"/>
          <w:color w:val="000000"/>
          <w:sz w:val="24"/>
          <w:szCs w:val="24"/>
          <w:lang w:eastAsia="en-GB"/>
        </w:rPr>
        <w:t xml:space="preserve">ll </w:t>
      </w:r>
      <w:r w:rsidR="008F4680">
        <w:rPr>
          <w:rFonts w:ascii="Times New Roman" w:eastAsia="Times New Roman" w:hAnsi="Times New Roman" w:cs="Times New Roman"/>
          <w:color w:val="000000"/>
          <w:sz w:val="24"/>
          <w:szCs w:val="24"/>
          <w:lang w:eastAsia="en-GB"/>
        </w:rPr>
        <w:t xml:space="preserve">evidenced a contrary intention. </w:t>
      </w:r>
    </w:p>
    <w:p w14:paraId="1D585C6A" w14:textId="5C2EB8A5" w:rsidR="00F97339" w:rsidRDefault="003D087D" w:rsidP="00467D71">
      <w:pPr>
        <w:shd w:val="clear" w:color="auto" w:fill="FFFFFF"/>
        <w:spacing w:after="120" w:line="480" w:lineRule="auto"/>
        <w:jc w:val="both"/>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color w:val="000000"/>
          <w:sz w:val="24"/>
          <w:szCs w:val="24"/>
          <w:lang w:eastAsia="en-GB"/>
        </w:rPr>
        <w:t>Master Clark set out the principles of construction as set out in Marley and the provisi</w:t>
      </w:r>
      <w:r w:rsidR="006C70DF">
        <w:rPr>
          <w:rFonts w:ascii="Times New Roman" w:eastAsia="Times New Roman" w:hAnsi="Times New Roman" w:cs="Times New Roman"/>
          <w:color w:val="000000"/>
          <w:sz w:val="24"/>
          <w:szCs w:val="24"/>
          <w:lang w:eastAsia="en-GB"/>
        </w:rPr>
        <w:t>o</w:t>
      </w:r>
      <w:r>
        <w:rPr>
          <w:rFonts w:ascii="Times New Roman" w:eastAsia="Times New Roman" w:hAnsi="Times New Roman" w:cs="Times New Roman"/>
          <w:color w:val="000000"/>
          <w:sz w:val="24"/>
          <w:szCs w:val="24"/>
          <w:lang w:eastAsia="en-GB"/>
        </w:rPr>
        <w:t>ns of section 21 of the Adm</w:t>
      </w:r>
      <w:r w:rsidR="006C70DF">
        <w:rPr>
          <w:rFonts w:ascii="Times New Roman" w:eastAsia="Times New Roman" w:hAnsi="Times New Roman" w:cs="Times New Roman"/>
          <w:color w:val="000000"/>
          <w:sz w:val="24"/>
          <w:szCs w:val="24"/>
          <w:lang w:eastAsia="en-GB"/>
        </w:rPr>
        <w:t>i</w:t>
      </w:r>
      <w:r>
        <w:rPr>
          <w:rFonts w:ascii="Times New Roman" w:eastAsia="Times New Roman" w:hAnsi="Times New Roman" w:cs="Times New Roman"/>
          <w:color w:val="000000"/>
          <w:sz w:val="24"/>
          <w:szCs w:val="24"/>
          <w:lang w:eastAsia="en-GB"/>
        </w:rPr>
        <w:t>n</w:t>
      </w:r>
      <w:r w:rsidR="006C70DF">
        <w:rPr>
          <w:rFonts w:ascii="Times New Roman" w:eastAsia="Times New Roman" w:hAnsi="Times New Roman" w:cs="Times New Roman"/>
          <w:color w:val="000000"/>
          <w:sz w:val="24"/>
          <w:szCs w:val="24"/>
          <w:lang w:eastAsia="en-GB"/>
        </w:rPr>
        <w:t>i</w:t>
      </w:r>
      <w:r>
        <w:rPr>
          <w:rFonts w:ascii="Times New Roman" w:eastAsia="Times New Roman" w:hAnsi="Times New Roman" w:cs="Times New Roman"/>
          <w:color w:val="000000"/>
          <w:sz w:val="24"/>
          <w:szCs w:val="24"/>
          <w:lang w:eastAsia="en-GB"/>
        </w:rPr>
        <w:t xml:space="preserve">stration of </w:t>
      </w:r>
      <w:r w:rsidR="006C70DF">
        <w:rPr>
          <w:rFonts w:ascii="Times New Roman" w:eastAsia="Times New Roman" w:hAnsi="Times New Roman" w:cs="Times New Roman"/>
          <w:color w:val="000000"/>
          <w:sz w:val="24"/>
          <w:szCs w:val="24"/>
          <w:lang w:eastAsia="en-GB"/>
        </w:rPr>
        <w:t>J</w:t>
      </w:r>
      <w:r>
        <w:rPr>
          <w:rFonts w:ascii="Times New Roman" w:eastAsia="Times New Roman" w:hAnsi="Times New Roman" w:cs="Times New Roman"/>
          <w:color w:val="000000"/>
          <w:sz w:val="24"/>
          <w:szCs w:val="24"/>
          <w:lang w:eastAsia="en-GB"/>
        </w:rPr>
        <w:t xml:space="preserve">ustice </w:t>
      </w:r>
      <w:r w:rsidR="006C70DF">
        <w:rPr>
          <w:rFonts w:ascii="Times New Roman" w:eastAsia="Times New Roman" w:hAnsi="Times New Roman" w:cs="Times New Roman"/>
          <w:color w:val="000000"/>
          <w:sz w:val="24"/>
          <w:szCs w:val="24"/>
          <w:lang w:eastAsia="en-GB"/>
        </w:rPr>
        <w:t>A</w:t>
      </w:r>
      <w:r>
        <w:rPr>
          <w:rFonts w:ascii="Times New Roman" w:eastAsia="Times New Roman" w:hAnsi="Times New Roman" w:cs="Times New Roman"/>
          <w:color w:val="000000"/>
          <w:sz w:val="24"/>
          <w:szCs w:val="24"/>
          <w:lang w:eastAsia="en-GB"/>
        </w:rPr>
        <w:t xml:space="preserve">ct 1982. </w:t>
      </w:r>
      <w:r w:rsidR="006C70DF">
        <w:rPr>
          <w:rFonts w:ascii="Times New Roman" w:eastAsia="Times New Roman" w:hAnsi="Times New Roman" w:cs="Times New Roman"/>
          <w:color w:val="000000"/>
          <w:sz w:val="24"/>
          <w:szCs w:val="24"/>
          <w:lang w:eastAsia="en-GB"/>
        </w:rPr>
        <w:t xml:space="preserve">She went on to review three decisions in relation to the issue.  The first was </w:t>
      </w:r>
      <w:r w:rsidR="006C70DF" w:rsidRPr="006C70DF">
        <w:rPr>
          <w:rFonts w:ascii="Times New Roman" w:eastAsia="Times New Roman" w:hAnsi="Times New Roman" w:cs="Times New Roman"/>
          <w:b/>
          <w:bCs/>
          <w:color w:val="000000"/>
          <w:sz w:val="24"/>
          <w:szCs w:val="24"/>
          <w:lang w:eastAsia="en-GB"/>
        </w:rPr>
        <w:t>Ling v Ling</w:t>
      </w:r>
      <w:r w:rsidR="006C70DF">
        <w:rPr>
          <w:rFonts w:ascii="Times New Roman" w:eastAsia="Times New Roman" w:hAnsi="Times New Roman" w:cs="Times New Roman"/>
          <w:color w:val="000000"/>
          <w:sz w:val="24"/>
          <w:szCs w:val="24"/>
          <w:lang w:eastAsia="en-GB"/>
        </w:rPr>
        <w:t xml:space="preserve"> [2002] WTLR 553 where the will provided </w:t>
      </w:r>
      <w:r w:rsidR="006C70DF" w:rsidRPr="006C70DF">
        <w:rPr>
          <w:rFonts w:ascii="Times New Roman" w:eastAsia="Times New Roman" w:hAnsi="Times New Roman" w:cs="Times New Roman"/>
          <w:i/>
          <w:iCs/>
          <w:color w:val="000000"/>
          <w:sz w:val="24"/>
          <w:szCs w:val="24"/>
          <w:lang w:eastAsia="en-GB"/>
        </w:rPr>
        <w:t>“If my said Wife shall die in my lifetime or shall fail to survive me by the period aforesaid, the Bank shall sand possessed of my residuary estate UPON TRUST for all or any of my children living at my death  or at the expiry of one calendar month therefr</w:t>
      </w:r>
      <w:r w:rsidR="006C70DF">
        <w:rPr>
          <w:rFonts w:ascii="Times New Roman" w:eastAsia="Times New Roman" w:hAnsi="Times New Roman" w:cs="Times New Roman"/>
          <w:i/>
          <w:iCs/>
          <w:color w:val="000000"/>
          <w:sz w:val="24"/>
          <w:szCs w:val="24"/>
          <w:lang w:eastAsia="en-GB"/>
        </w:rPr>
        <w:t>om</w:t>
      </w:r>
      <w:r w:rsidR="006C70DF" w:rsidRPr="006C70DF">
        <w:rPr>
          <w:rFonts w:ascii="Times New Roman" w:eastAsia="Times New Roman" w:hAnsi="Times New Roman" w:cs="Times New Roman"/>
          <w:i/>
          <w:iCs/>
          <w:color w:val="000000"/>
          <w:sz w:val="24"/>
          <w:szCs w:val="24"/>
          <w:lang w:eastAsia="en-GB"/>
        </w:rPr>
        <w:t xml:space="preserve"> wh</w:t>
      </w:r>
      <w:r w:rsidR="006C70DF">
        <w:rPr>
          <w:rFonts w:ascii="Times New Roman" w:eastAsia="Times New Roman" w:hAnsi="Times New Roman" w:cs="Times New Roman"/>
          <w:i/>
          <w:iCs/>
          <w:color w:val="000000"/>
          <w:sz w:val="24"/>
          <w:szCs w:val="24"/>
          <w:lang w:eastAsia="en-GB"/>
        </w:rPr>
        <w:t>o</w:t>
      </w:r>
      <w:r w:rsidR="006C70DF" w:rsidRPr="006C70DF">
        <w:rPr>
          <w:rFonts w:ascii="Times New Roman" w:eastAsia="Times New Roman" w:hAnsi="Times New Roman" w:cs="Times New Roman"/>
          <w:i/>
          <w:iCs/>
          <w:color w:val="000000"/>
          <w:sz w:val="24"/>
          <w:szCs w:val="24"/>
          <w:lang w:eastAsia="en-GB"/>
        </w:rPr>
        <w:t xml:space="preserve"> attain or shall have then attaine</w:t>
      </w:r>
      <w:r w:rsidR="006C70DF">
        <w:rPr>
          <w:rFonts w:ascii="Times New Roman" w:eastAsia="Times New Roman" w:hAnsi="Times New Roman" w:cs="Times New Roman"/>
          <w:i/>
          <w:iCs/>
          <w:color w:val="000000"/>
          <w:sz w:val="24"/>
          <w:szCs w:val="24"/>
          <w:lang w:eastAsia="en-GB"/>
        </w:rPr>
        <w:t>d</w:t>
      </w:r>
      <w:r w:rsidR="006C70DF" w:rsidRPr="006C70DF">
        <w:rPr>
          <w:rFonts w:ascii="Times New Roman" w:eastAsia="Times New Roman" w:hAnsi="Times New Roman" w:cs="Times New Roman"/>
          <w:i/>
          <w:iCs/>
          <w:color w:val="000000"/>
          <w:sz w:val="24"/>
          <w:szCs w:val="24"/>
          <w:lang w:eastAsia="en-GB"/>
        </w:rPr>
        <w:t xml:space="preserve"> the age of twenty one years and if more than one then as tenants in common in equal shares absolutely.”</w:t>
      </w:r>
    </w:p>
    <w:p w14:paraId="076E69B0" w14:textId="6E3F1748" w:rsidR="006C70DF" w:rsidRDefault="006C70DF" w:rsidP="00467D71">
      <w:pPr>
        <w:shd w:val="clear" w:color="auto" w:fill="FFFFFF"/>
        <w:spacing w:after="120" w:line="480" w:lineRule="auto"/>
        <w:jc w:val="both"/>
        <w:rPr>
          <w:rFonts w:ascii="Times New Roman" w:eastAsia="Times New Roman" w:hAnsi="Times New Roman" w:cs="Times New Roman"/>
          <w:color w:val="000000"/>
          <w:sz w:val="24"/>
          <w:szCs w:val="24"/>
          <w:lang w:eastAsia="en-GB"/>
        </w:rPr>
      </w:pPr>
      <w:proofErr w:type="spellStart"/>
      <w:r>
        <w:rPr>
          <w:rFonts w:ascii="Times New Roman" w:eastAsia="Times New Roman" w:hAnsi="Times New Roman" w:cs="Times New Roman"/>
          <w:color w:val="000000"/>
          <w:sz w:val="24"/>
          <w:szCs w:val="24"/>
          <w:lang w:eastAsia="en-GB"/>
        </w:rPr>
        <w:t>Etherton</w:t>
      </w:r>
      <w:proofErr w:type="spellEnd"/>
      <w:r>
        <w:rPr>
          <w:rFonts w:ascii="Times New Roman" w:eastAsia="Times New Roman" w:hAnsi="Times New Roman" w:cs="Times New Roman"/>
          <w:color w:val="000000"/>
          <w:sz w:val="24"/>
          <w:szCs w:val="24"/>
          <w:lang w:eastAsia="en-GB"/>
        </w:rPr>
        <w:t xml:space="preserve"> J held at [27] that the words “living at my death” achieved nothing and were only there to state expressly what would otherwise be implicit, namely that a class is normally composed of those members, if any, existing at the date of death of the Testator.  They gave, he held, no indication of any intention that a child’s issue should be excluded from taking the child’s share under s.33(2)</w:t>
      </w:r>
    </w:p>
    <w:p w14:paraId="056D1A0C" w14:textId="66553649" w:rsidR="006C70DF" w:rsidRPr="00CE0914" w:rsidRDefault="006C70DF" w:rsidP="00467D71">
      <w:pPr>
        <w:shd w:val="clear" w:color="auto" w:fill="FFFFFF"/>
        <w:spacing w:after="120" w:line="480" w:lineRule="auto"/>
        <w:jc w:val="both"/>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The second case was </w:t>
      </w:r>
      <w:r w:rsidRPr="00CE0914">
        <w:rPr>
          <w:rFonts w:ascii="Times New Roman" w:eastAsia="Times New Roman" w:hAnsi="Times New Roman" w:cs="Times New Roman"/>
          <w:b/>
          <w:bCs/>
          <w:color w:val="000000"/>
          <w:sz w:val="24"/>
          <w:szCs w:val="24"/>
          <w:lang w:eastAsia="en-GB"/>
        </w:rPr>
        <w:t>Rainbird v Smith</w:t>
      </w:r>
      <w:r>
        <w:rPr>
          <w:rFonts w:ascii="Times New Roman" w:eastAsia="Times New Roman" w:hAnsi="Times New Roman" w:cs="Times New Roman"/>
          <w:color w:val="000000"/>
          <w:sz w:val="24"/>
          <w:szCs w:val="24"/>
          <w:lang w:eastAsia="en-GB"/>
        </w:rPr>
        <w:t xml:space="preserve"> [2012] EWHC 4276 (Ch) where the relevant clause provided:</w:t>
      </w:r>
      <w:r w:rsidR="00D447D2">
        <w:rPr>
          <w:rFonts w:ascii="Times New Roman" w:eastAsia="Times New Roman" w:hAnsi="Times New Roman" w:cs="Times New Roman"/>
          <w:color w:val="000000"/>
          <w:sz w:val="24"/>
          <w:szCs w:val="24"/>
          <w:lang w:eastAsia="en-GB"/>
        </w:rPr>
        <w:t xml:space="preserve"> </w:t>
      </w:r>
      <w:r w:rsidR="00D447D2" w:rsidRPr="00CE0914">
        <w:rPr>
          <w:rFonts w:ascii="Times New Roman" w:eastAsia="Times New Roman" w:hAnsi="Times New Roman" w:cs="Times New Roman"/>
          <w:i/>
          <w:iCs/>
          <w:color w:val="000000"/>
          <w:sz w:val="24"/>
          <w:szCs w:val="24"/>
          <w:lang w:eastAsia="en-GB"/>
        </w:rPr>
        <w:t>“I give my estate (including any property over which I may have a general power of appointment or disposition by Will) to my Trustees Upon Trust…..</w:t>
      </w:r>
    </w:p>
    <w:p w14:paraId="6E108C9F" w14:textId="3D2FE608" w:rsidR="00242E67" w:rsidRPr="00CE0914" w:rsidRDefault="00242E67" w:rsidP="00467D71">
      <w:pPr>
        <w:shd w:val="clear" w:color="auto" w:fill="FFFFFF"/>
        <w:spacing w:after="120" w:line="480" w:lineRule="auto"/>
        <w:jc w:val="both"/>
        <w:rPr>
          <w:rFonts w:ascii="Times New Roman" w:eastAsia="Times New Roman" w:hAnsi="Times New Roman" w:cs="Times New Roman"/>
          <w:i/>
          <w:iCs/>
          <w:color w:val="000000"/>
          <w:sz w:val="24"/>
          <w:szCs w:val="24"/>
          <w:lang w:eastAsia="en-GB"/>
        </w:rPr>
      </w:pPr>
      <w:r w:rsidRPr="00CE0914">
        <w:rPr>
          <w:rFonts w:ascii="Times New Roman" w:eastAsia="Times New Roman" w:hAnsi="Times New Roman" w:cs="Times New Roman"/>
          <w:i/>
          <w:iCs/>
          <w:color w:val="000000"/>
          <w:sz w:val="24"/>
          <w:szCs w:val="24"/>
          <w:lang w:eastAsia="en-GB"/>
        </w:rPr>
        <w:t>(c)</w:t>
      </w:r>
      <w:r w:rsidRPr="00CE0914">
        <w:rPr>
          <w:rFonts w:ascii="Times New Roman" w:eastAsia="Times New Roman" w:hAnsi="Times New Roman" w:cs="Times New Roman"/>
          <w:i/>
          <w:iCs/>
          <w:color w:val="000000"/>
          <w:sz w:val="24"/>
          <w:szCs w:val="24"/>
          <w:lang w:eastAsia="en-GB"/>
        </w:rPr>
        <w:tab/>
        <w:t>subject thereto  hold the residue remaining and the income thereof (“my Residuary Estate”) UPON TRUST for such of them my Daughters, the said JACQUELINE ANNE RAINBIRD JANET JONES… and GWENDOL</w:t>
      </w:r>
      <w:r w:rsidR="00CE0914" w:rsidRPr="00CE0914">
        <w:rPr>
          <w:rFonts w:ascii="Times New Roman" w:eastAsia="Times New Roman" w:hAnsi="Times New Roman" w:cs="Times New Roman"/>
          <w:i/>
          <w:iCs/>
          <w:color w:val="000000"/>
          <w:sz w:val="24"/>
          <w:szCs w:val="24"/>
          <w:lang w:eastAsia="en-GB"/>
        </w:rPr>
        <w:t>I</w:t>
      </w:r>
      <w:r w:rsidRPr="00CE0914">
        <w:rPr>
          <w:rFonts w:ascii="Times New Roman" w:eastAsia="Times New Roman" w:hAnsi="Times New Roman" w:cs="Times New Roman"/>
          <w:i/>
          <w:iCs/>
          <w:color w:val="000000"/>
          <w:sz w:val="24"/>
          <w:szCs w:val="24"/>
          <w:lang w:eastAsia="en-GB"/>
        </w:rPr>
        <w:t xml:space="preserve">NE SMITH …. as shall survive me and if more than one in equal shares absolutely”.  </w:t>
      </w:r>
    </w:p>
    <w:p w14:paraId="02D798C1" w14:textId="7EE0D0EC" w:rsidR="00242E67" w:rsidRDefault="00242E67" w:rsidP="00467D71">
      <w:pPr>
        <w:shd w:val="clear" w:color="auto" w:fill="FFFFFF"/>
        <w:spacing w:after="12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This was an unopposed claim for rectification but the </w:t>
      </w:r>
      <w:r w:rsidR="00CE0914">
        <w:rPr>
          <w:rFonts w:ascii="Times New Roman" w:eastAsia="Times New Roman" w:hAnsi="Times New Roman" w:cs="Times New Roman"/>
          <w:color w:val="000000"/>
          <w:sz w:val="24"/>
          <w:szCs w:val="24"/>
          <w:lang w:eastAsia="en-GB"/>
        </w:rPr>
        <w:t>J</w:t>
      </w:r>
      <w:r>
        <w:rPr>
          <w:rFonts w:ascii="Times New Roman" w:eastAsia="Times New Roman" w:hAnsi="Times New Roman" w:cs="Times New Roman"/>
          <w:color w:val="000000"/>
          <w:sz w:val="24"/>
          <w:szCs w:val="24"/>
          <w:lang w:eastAsia="en-GB"/>
        </w:rPr>
        <w:t xml:space="preserve">udge, John Baldwin, sitting as a Deputy judge) decided that it was necessary to construe the will before considering whether to rectify it.   The </w:t>
      </w:r>
      <w:r w:rsidR="00CE0914">
        <w:rPr>
          <w:rFonts w:ascii="Times New Roman" w:eastAsia="Times New Roman" w:hAnsi="Times New Roman" w:cs="Times New Roman"/>
          <w:color w:val="000000"/>
          <w:sz w:val="24"/>
          <w:szCs w:val="24"/>
          <w:lang w:eastAsia="en-GB"/>
        </w:rPr>
        <w:t xml:space="preserve">Judge </w:t>
      </w:r>
      <w:r>
        <w:rPr>
          <w:rFonts w:ascii="Times New Roman" w:eastAsia="Times New Roman" w:hAnsi="Times New Roman" w:cs="Times New Roman"/>
          <w:color w:val="000000"/>
          <w:sz w:val="24"/>
          <w:szCs w:val="24"/>
          <w:lang w:eastAsia="en-GB"/>
        </w:rPr>
        <w:t>too</w:t>
      </w:r>
      <w:r w:rsidR="00CE0914">
        <w:rPr>
          <w:rFonts w:ascii="Times New Roman" w:eastAsia="Times New Roman" w:hAnsi="Times New Roman" w:cs="Times New Roman"/>
          <w:color w:val="000000"/>
          <w:sz w:val="24"/>
          <w:szCs w:val="24"/>
          <w:lang w:eastAsia="en-GB"/>
        </w:rPr>
        <w:t>k</w:t>
      </w:r>
      <w:r>
        <w:rPr>
          <w:rFonts w:ascii="Times New Roman" w:eastAsia="Times New Roman" w:hAnsi="Times New Roman" w:cs="Times New Roman"/>
          <w:color w:val="000000"/>
          <w:sz w:val="24"/>
          <w:szCs w:val="24"/>
          <w:lang w:eastAsia="en-GB"/>
        </w:rPr>
        <w:t xml:space="preserve"> the view that the testator’s intention was perfectly clear and that was to leave her estate only to those of her daughters who actually survived her.  He also considered that the expression “if more than one in equal shares” showed an intention that if one daughter predeceased the Testator, the shares of the others would be correspondingly increased. He distinguished Ling on the ground that in that case the Judge had commented that the will was very poorly drafted, awkward and grammatically inept. </w:t>
      </w:r>
    </w:p>
    <w:p w14:paraId="1A0ECEE2" w14:textId="55F47BA1" w:rsidR="00242E67" w:rsidRDefault="00242E67" w:rsidP="00467D71">
      <w:pPr>
        <w:shd w:val="clear" w:color="auto" w:fill="FFFFFF"/>
        <w:spacing w:after="12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Master Clark thought the distinction </w:t>
      </w:r>
      <w:r w:rsidR="00675534">
        <w:rPr>
          <w:rFonts w:ascii="Times New Roman" w:eastAsia="Times New Roman" w:hAnsi="Times New Roman" w:cs="Times New Roman"/>
          <w:color w:val="000000"/>
          <w:sz w:val="24"/>
          <w:szCs w:val="24"/>
          <w:lang w:eastAsia="en-GB"/>
        </w:rPr>
        <w:t xml:space="preserve">drawn </w:t>
      </w:r>
      <w:r>
        <w:rPr>
          <w:rFonts w:ascii="Times New Roman" w:eastAsia="Times New Roman" w:hAnsi="Times New Roman" w:cs="Times New Roman"/>
          <w:color w:val="000000"/>
          <w:sz w:val="24"/>
          <w:szCs w:val="24"/>
          <w:lang w:eastAsia="en-GB"/>
        </w:rPr>
        <w:t xml:space="preserve">between </w:t>
      </w:r>
      <w:r w:rsidRPr="00675534">
        <w:rPr>
          <w:rFonts w:ascii="Times New Roman" w:eastAsia="Times New Roman" w:hAnsi="Times New Roman" w:cs="Times New Roman"/>
          <w:b/>
          <w:bCs/>
          <w:color w:val="000000"/>
          <w:sz w:val="24"/>
          <w:szCs w:val="24"/>
          <w:lang w:eastAsia="en-GB"/>
        </w:rPr>
        <w:t>Ling</w:t>
      </w:r>
      <w:r>
        <w:rPr>
          <w:rFonts w:ascii="Times New Roman" w:eastAsia="Times New Roman" w:hAnsi="Times New Roman" w:cs="Times New Roman"/>
          <w:color w:val="000000"/>
          <w:sz w:val="24"/>
          <w:szCs w:val="24"/>
          <w:lang w:eastAsia="en-GB"/>
        </w:rPr>
        <w:t xml:space="preserve"> and </w:t>
      </w:r>
      <w:r w:rsidRPr="00675534">
        <w:rPr>
          <w:rFonts w:ascii="Times New Roman" w:eastAsia="Times New Roman" w:hAnsi="Times New Roman" w:cs="Times New Roman"/>
          <w:b/>
          <w:bCs/>
          <w:color w:val="000000"/>
          <w:sz w:val="24"/>
          <w:szCs w:val="24"/>
          <w:lang w:eastAsia="en-GB"/>
        </w:rPr>
        <w:t>Rainbird</w:t>
      </w:r>
      <w:r>
        <w:rPr>
          <w:rFonts w:ascii="Times New Roman" w:eastAsia="Times New Roman" w:hAnsi="Times New Roman" w:cs="Times New Roman"/>
          <w:color w:val="000000"/>
          <w:sz w:val="24"/>
          <w:szCs w:val="24"/>
          <w:lang w:eastAsia="en-GB"/>
        </w:rPr>
        <w:t xml:space="preserve"> was unconvincing and did not engage with the reasoning in </w:t>
      </w:r>
      <w:r w:rsidRPr="00675534">
        <w:rPr>
          <w:rFonts w:ascii="Times New Roman" w:eastAsia="Times New Roman" w:hAnsi="Times New Roman" w:cs="Times New Roman"/>
          <w:b/>
          <w:bCs/>
          <w:color w:val="000000"/>
          <w:sz w:val="24"/>
          <w:szCs w:val="24"/>
          <w:lang w:eastAsia="en-GB"/>
        </w:rPr>
        <w:t>Ling</w:t>
      </w:r>
      <w:r>
        <w:rPr>
          <w:rFonts w:ascii="Times New Roman" w:eastAsia="Times New Roman" w:hAnsi="Times New Roman" w:cs="Times New Roman"/>
          <w:color w:val="000000"/>
          <w:sz w:val="24"/>
          <w:szCs w:val="24"/>
          <w:lang w:eastAsia="en-GB"/>
        </w:rPr>
        <w:t xml:space="preserve"> which was equally applicable to the will in </w:t>
      </w:r>
      <w:r w:rsidRPr="00675534">
        <w:rPr>
          <w:rFonts w:ascii="Times New Roman" w:eastAsia="Times New Roman" w:hAnsi="Times New Roman" w:cs="Times New Roman"/>
          <w:b/>
          <w:bCs/>
          <w:color w:val="000000"/>
          <w:sz w:val="24"/>
          <w:szCs w:val="24"/>
          <w:lang w:eastAsia="en-GB"/>
        </w:rPr>
        <w:t>Rainbird</w:t>
      </w:r>
      <w:r>
        <w:rPr>
          <w:rFonts w:ascii="Times New Roman" w:eastAsia="Times New Roman" w:hAnsi="Times New Roman" w:cs="Times New Roman"/>
          <w:color w:val="000000"/>
          <w:sz w:val="24"/>
          <w:szCs w:val="24"/>
          <w:lang w:eastAsia="en-GB"/>
        </w:rPr>
        <w:t xml:space="preserve">. </w:t>
      </w:r>
    </w:p>
    <w:p w14:paraId="456F2D0E" w14:textId="1D074325" w:rsidR="00242E67" w:rsidRDefault="00242E67" w:rsidP="00467D71">
      <w:pPr>
        <w:shd w:val="clear" w:color="auto" w:fill="FFFFFF"/>
        <w:spacing w:after="12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third case was </w:t>
      </w:r>
      <w:r w:rsidRPr="00675534">
        <w:rPr>
          <w:rFonts w:ascii="Times New Roman" w:eastAsia="Times New Roman" w:hAnsi="Times New Roman" w:cs="Times New Roman"/>
          <w:b/>
          <w:bCs/>
          <w:color w:val="000000"/>
          <w:sz w:val="24"/>
          <w:szCs w:val="24"/>
          <w:lang w:eastAsia="en-GB"/>
        </w:rPr>
        <w:t>Hives v Machin</w:t>
      </w:r>
      <w:r>
        <w:rPr>
          <w:rFonts w:ascii="Times New Roman" w:eastAsia="Times New Roman" w:hAnsi="Times New Roman" w:cs="Times New Roman"/>
          <w:color w:val="000000"/>
          <w:sz w:val="24"/>
          <w:szCs w:val="24"/>
          <w:lang w:eastAsia="en-GB"/>
        </w:rPr>
        <w:t xml:space="preserve"> [2017] EWHC 1414 (Ch)</w:t>
      </w:r>
      <w:r w:rsidR="00231E97">
        <w:rPr>
          <w:rFonts w:ascii="Times New Roman" w:eastAsia="Times New Roman" w:hAnsi="Times New Roman" w:cs="Times New Roman"/>
          <w:color w:val="000000"/>
          <w:sz w:val="24"/>
          <w:szCs w:val="24"/>
          <w:lang w:eastAsia="en-GB"/>
        </w:rPr>
        <w:t xml:space="preserve">.  In that case the relevant clause of the will was as follows: </w:t>
      </w:r>
    </w:p>
    <w:p w14:paraId="31B15177" w14:textId="3AA7A3DB" w:rsidR="00231E97" w:rsidRDefault="00231E97" w:rsidP="00467D71">
      <w:pPr>
        <w:shd w:val="clear" w:color="auto" w:fill="FFFFFF"/>
        <w:spacing w:after="120" w:line="480" w:lineRule="auto"/>
        <w:jc w:val="both"/>
        <w:rPr>
          <w:rFonts w:ascii="Times New Roman" w:hAnsi="Times New Roman" w:cs="Times New Roman"/>
          <w:i/>
          <w:iCs/>
          <w:sz w:val="24"/>
          <w:szCs w:val="24"/>
        </w:rPr>
      </w:pPr>
      <w:r w:rsidRPr="00231E97">
        <w:rPr>
          <w:rFonts w:ascii="Times New Roman" w:hAnsi="Times New Roman" w:cs="Times New Roman"/>
          <w:i/>
          <w:iCs/>
          <w:sz w:val="24"/>
          <w:szCs w:val="24"/>
        </w:rPr>
        <w:t xml:space="preserve">Clause 5: “I GIVE DEVISE AND BEQUEATH all my remaining property both real and personal of whatsoever nature and wheresoever situate (including any property over which I may have a general power of appointment) not otherwise disposed of by this my Will to my Trustees …..UPON TRUST for such of my son PETER DAVID MACHIN my said son ERIC </w:t>
      </w:r>
      <w:r w:rsidRPr="00231E97">
        <w:rPr>
          <w:rFonts w:ascii="Times New Roman" w:hAnsi="Times New Roman" w:cs="Times New Roman"/>
          <w:i/>
          <w:iCs/>
          <w:sz w:val="24"/>
          <w:szCs w:val="24"/>
        </w:rPr>
        <w:lastRenderedPageBreak/>
        <w:t>WILHELM MACHIN and my said son CHRISTOPHER BASTUBBE who shall be living at the date of my death and if more than one in equal shares absolutely”.</w:t>
      </w:r>
    </w:p>
    <w:p w14:paraId="4C45D1FD" w14:textId="1F37A402" w:rsidR="00231E97" w:rsidRDefault="00231E97" w:rsidP="00467D71">
      <w:p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The Judge, Mr Timothy </w:t>
      </w:r>
      <w:proofErr w:type="spellStart"/>
      <w:r>
        <w:rPr>
          <w:rFonts w:ascii="Times New Roman" w:hAnsi="Times New Roman" w:cs="Times New Roman"/>
          <w:sz w:val="24"/>
          <w:szCs w:val="24"/>
        </w:rPr>
        <w:t>Fancourt</w:t>
      </w:r>
      <w:proofErr w:type="spellEnd"/>
      <w:r>
        <w:rPr>
          <w:rFonts w:ascii="Times New Roman" w:hAnsi="Times New Roman" w:cs="Times New Roman"/>
          <w:sz w:val="24"/>
          <w:szCs w:val="24"/>
        </w:rPr>
        <w:t xml:space="preserve"> QC </w:t>
      </w:r>
      <w:r w:rsidR="00675534">
        <w:rPr>
          <w:rFonts w:ascii="Times New Roman" w:hAnsi="Times New Roman" w:cs="Times New Roman"/>
          <w:sz w:val="24"/>
          <w:szCs w:val="24"/>
        </w:rPr>
        <w:t>(</w:t>
      </w:r>
      <w:r>
        <w:rPr>
          <w:rFonts w:ascii="Times New Roman" w:hAnsi="Times New Roman" w:cs="Times New Roman"/>
          <w:sz w:val="24"/>
          <w:szCs w:val="24"/>
        </w:rPr>
        <w:t xml:space="preserve">as he then was) rejected a submission that his only task was to construe in accordance with the principles set out in Marley.  He identified the proper question as being whether the will showed a contrary intention for the purposes of section 33(2). He came to the conclusion that  </w:t>
      </w:r>
      <w:r w:rsidRPr="00231E97">
        <w:rPr>
          <w:rFonts w:ascii="Times New Roman" w:hAnsi="Times New Roman" w:cs="Times New Roman"/>
          <w:i/>
          <w:iCs/>
          <w:sz w:val="24"/>
          <w:szCs w:val="24"/>
        </w:rPr>
        <w:t>“The words of clause 5 should therefore be given their natural meaning, but neither they nor other terms of the Will show any contrary intention for the purpose of section 33.</w:t>
      </w:r>
      <w:r>
        <w:rPr>
          <w:rFonts w:ascii="Times New Roman" w:hAnsi="Times New Roman" w:cs="Times New Roman"/>
          <w:i/>
          <w:iCs/>
          <w:sz w:val="24"/>
          <w:szCs w:val="24"/>
        </w:rPr>
        <w:t xml:space="preserve">”. </w:t>
      </w:r>
      <w:r>
        <w:rPr>
          <w:rFonts w:ascii="Times New Roman" w:hAnsi="Times New Roman" w:cs="Times New Roman"/>
          <w:sz w:val="24"/>
          <w:szCs w:val="24"/>
        </w:rPr>
        <w:t xml:space="preserve">He said he was reinforced in his view by the  fact that </w:t>
      </w:r>
      <w:proofErr w:type="spellStart"/>
      <w:r>
        <w:rPr>
          <w:rFonts w:ascii="Times New Roman" w:hAnsi="Times New Roman" w:cs="Times New Roman"/>
          <w:sz w:val="24"/>
          <w:szCs w:val="24"/>
        </w:rPr>
        <w:t>Etherton</w:t>
      </w:r>
      <w:proofErr w:type="spellEnd"/>
      <w:r>
        <w:rPr>
          <w:rFonts w:ascii="Times New Roman" w:hAnsi="Times New Roman" w:cs="Times New Roman"/>
          <w:sz w:val="24"/>
          <w:szCs w:val="24"/>
        </w:rPr>
        <w:t xml:space="preserve"> J came to the same conclusion in Ling. </w:t>
      </w:r>
    </w:p>
    <w:p w14:paraId="1B6491A3" w14:textId="434CB435" w:rsidR="00110D80" w:rsidRDefault="00231E97" w:rsidP="00467D71">
      <w:p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Master Clark  came to the </w:t>
      </w:r>
      <w:r w:rsidR="00110D80">
        <w:rPr>
          <w:rFonts w:ascii="Times New Roman" w:hAnsi="Times New Roman" w:cs="Times New Roman"/>
          <w:sz w:val="24"/>
          <w:szCs w:val="24"/>
        </w:rPr>
        <w:t xml:space="preserve">conclusion </w:t>
      </w:r>
      <w:r>
        <w:rPr>
          <w:rFonts w:ascii="Times New Roman" w:hAnsi="Times New Roman" w:cs="Times New Roman"/>
          <w:sz w:val="24"/>
          <w:szCs w:val="24"/>
        </w:rPr>
        <w:t xml:space="preserve">that clause 6 of the </w:t>
      </w:r>
      <w:r w:rsidR="00110D80">
        <w:rPr>
          <w:rFonts w:ascii="Times New Roman" w:hAnsi="Times New Roman" w:cs="Times New Roman"/>
          <w:sz w:val="24"/>
          <w:szCs w:val="24"/>
        </w:rPr>
        <w:t>W</w:t>
      </w:r>
      <w:r>
        <w:rPr>
          <w:rFonts w:ascii="Times New Roman" w:hAnsi="Times New Roman" w:cs="Times New Roman"/>
          <w:sz w:val="24"/>
          <w:szCs w:val="24"/>
        </w:rPr>
        <w:t>ill was not ambiguous.  Its clear meaning is that Mrs Bean’s estate should be shared equally by all</w:t>
      </w:r>
      <w:r w:rsidR="00110D80">
        <w:rPr>
          <w:rFonts w:ascii="Times New Roman" w:hAnsi="Times New Roman" w:cs="Times New Roman"/>
          <w:sz w:val="24"/>
          <w:szCs w:val="24"/>
        </w:rPr>
        <w:t xml:space="preserve"> </w:t>
      </w:r>
      <w:r>
        <w:rPr>
          <w:rFonts w:ascii="Times New Roman" w:hAnsi="Times New Roman" w:cs="Times New Roman"/>
          <w:sz w:val="24"/>
          <w:szCs w:val="24"/>
        </w:rPr>
        <w:t>the children who survive</w:t>
      </w:r>
      <w:r w:rsidR="00110D80">
        <w:rPr>
          <w:rFonts w:ascii="Times New Roman" w:hAnsi="Times New Roman" w:cs="Times New Roman"/>
          <w:sz w:val="24"/>
          <w:szCs w:val="24"/>
        </w:rPr>
        <w:t>d</w:t>
      </w:r>
      <w:r>
        <w:rPr>
          <w:rFonts w:ascii="Times New Roman" w:hAnsi="Times New Roman" w:cs="Times New Roman"/>
          <w:sz w:val="24"/>
          <w:szCs w:val="24"/>
        </w:rPr>
        <w:t xml:space="preserve"> her.  That was the same conclusion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reached in </w:t>
      </w:r>
      <w:proofErr w:type="spellStart"/>
      <w:r w:rsidRPr="004A70DF">
        <w:rPr>
          <w:rFonts w:ascii="Times New Roman" w:hAnsi="Times New Roman" w:cs="Times New Roman"/>
          <w:b/>
          <w:bCs/>
          <w:sz w:val="24"/>
          <w:szCs w:val="24"/>
        </w:rPr>
        <w:t>Rainbird</w:t>
      </w:r>
      <w:proofErr w:type="spellEnd"/>
      <w:r>
        <w:rPr>
          <w:rFonts w:ascii="Times New Roman" w:hAnsi="Times New Roman" w:cs="Times New Roman"/>
          <w:sz w:val="24"/>
          <w:szCs w:val="24"/>
        </w:rPr>
        <w:t xml:space="preserve"> and </w:t>
      </w:r>
      <w:r w:rsidR="00110D80" w:rsidRPr="004A70DF">
        <w:rPr>
          <w:rFonts w:ascii="Times New Roman" w:hAnsi="Times New Roman" w:cs="Times New Roman"/>
          <w:b/>
          <w:bCs/>
          <w:sz w:val="24"/>
          <w:szCs w:val="24"/>
        </w:rPr>
        <w:t>H</w:t>
      </w:r>
      <w:r w:rsidRPr="004A70DF">
        <w:rPr>
          <w:rFonts w:ascii="Times New Roman" w:hAnsi="Times New Roman" w:cs="Times New Roman"/>
          <w:b/>
          <w:bCs/>
          <w:sz w:val="24"/>
          <w:szCs w:val="24"/>
        </w:rPr>
        <w:t>ives v Machin</w:t>
      </w:r>
      <w:r>
        <w:rPr>
          <w:rFonts w:ascii="Times New Roman" w:hAnsi="Times New Roman" w:cs="Times New Roman"/>
          <w:sz w:val="24"/>
          <w:szCs w:val="24"/>
        </w:rPr>
        <w:t xml:space="preserve">.  As a result of that evidence of subjective intention was not permissible.  That was not the end of the matter as the Court </w:t>
      </w:r>
      <w:r w:rsidR="00110D80">
        <w:rPr>
          <w:rFonts w:ascii="Times New Roman" w:hAnsi="Times New Roman" w:cs="Times New Roman"/>
          <w:sz w:val="24"/>
          <w:szCs w:val="24"/>
        </w:rPr>
        <w:t>s</w:t>
      </w:r>
      <w:r>
        <w:rPr>
          <w:rFonts w:ascii="Times New Roman" w:hAnsi="Times New Roman" w:cs="Times New Roman"/>
          <w:sz w:val="24"/>
          <w:szCs w:val="24"/>
        </w:rPr>
        <w:t>till needed to consider whether the wo</w:t>
      </w:r>
      <w:r w:rsidR="00110D80">
        <w:rPr>
          <w:rFonts w:ascii="Times New Roman" w:hAnsi="Times New Roman" w:cs="Times New Roman"/>
          <w:sz w:val="24"/>
          <w:szCs w:val="24"/>
        </w:rPr>
        <w:t>r</w:t>
      </w:r>
      <w:r>
        <w:rPr>
          <w:rFonts w:ascii="Times New Roman" w:hAnsi="Times New Roman" w:cs="Times New Roman"/>
          <w:sz w:val="24"/>
          <w:szCs w:val="24"/>
        </w:rPr>
        <w:t>ds used evidenced a contrary intention under section 33.   Master Clark considered whether there was admissible evidence under the Armchair prin</w:t>
      </w:r>
      <w:r w:rsidR="00110D80">
        <w:rPr>
          <w:rFonts w:ascii="Times New Roman" w:hAnsi="Times New Roman" w:cs="Times New Roman"/>
          <w:sz w:val="24"/>
          <w:szCs w:val="24"/>
        </w:rPr>
        <w:t>c</w:t>
      </w:r>
      <w:r>
        <w:rPr>
          <w:rFonts w:ascii="Times New Roman" w:hAnsi="Times New Roman" w:cs="Times New Roman"/>
          <w:sz w:val="24"/>
          <w:szCs w:val="24"/>
        </w:rPr>
        <w:t>iple or as part of the admissible factu</w:t>
      </w:r>
      <w:r w:rsidR="00110D80">
        <w:rPr>
          <w:rFonts w:ascii="Times New Roman" w:hAnsi="Times New Roman" w:cs="Times New Roman"/>
          <w:sz w:val="24"/>
          <w:szCs w:val="24"/>
        </w:rPr>
        <w:t>a</w:t>
      </w:r>
      <w:r>
        <w:rPr>
          <w:rFonts w:ascii="Times New Roman" w:hAnsi="Times New Roman" w:cs="Times New Roman"/>
          <w:sz w:val="24"/>
          <w:szCs w:val="24"/>
        </w:rPr>
        <w:t xml:space="preserve">l matrix on this issue </w:t>
      </w:r>
      <w:r w:rsidR="00110D80">
        <w:rPr>
          <w:rFonts w:ascii="Times New Roman" w:hAnsi="Times New Roman" w:cs="Times New Roman"/>
          <w:sz w:val="24"/>
          <w:szCs w:val="24"/>
        </w:rPr>
        <w:t xml:space="preserve">  She looked at the provisions of Mrs Bean’s earlier wills.  She applied the reasoning set out in </w:t>
      </w:r>
      <w:r w:rsidR="004A70DF" w:rsidRPr="004A70DF">
        <w:rPr>
          <w:rFonts w:ascii="Times New Roman" w:hAnsi="Times New Roman" w:cs="Times New Roman"/>
          <w:b/>
          <w:bCs/>
          <w:sz w:val="24"/>
          <w:szCs w:val="24"/>
        </w:rPr>
        <w:t>L</w:t>
      </w:r>
      <w:r w:rsidR="00110D80" w:rsidRPr="004A70DF">
        <w:rPr>
          <w:rFonts w:ascii="Times New Roman" w:hAnsi="Times New Roman" w:cs="Times New Roman"/>
          <w:b/>
          <w:bCs/>
          <w:sz w:val="24"/>
          <w:szCs w:val="24"/>
        </w:rPr>
        <w:t>ing</w:t>
      </w:r>
      <w:r w:rsidR="00110D80">
        <w:rPr>
          <w:rFonts w:ascii="Times New Roman" w:hAnsi="Times New Roman" w:cs="Times New Roman"/>
          <w:sz w:val="24"/>
          <w:szCs w:val="24"/>
        </w:rPr>
        <w:t xml:space="preserve"> and in </w:t>
      </w:r>
      <w:r w:rsidR="00110D80" w:rsidRPr="004A70DF">
        <w:rPr>
          <w:rFonts w:ascii="Times New Roman" w:hAnsi="Times New Roman" w:cs="Times New Roman"/>
          <w:b/>
          <w:bCs/>
          <w:sz w:val="24"/>
          <w:szCs w:val="24"/>
        </w:rPr>
        <w:t>Hives v Machin</w:t>
      </w:r>
      <w:r w:rsidR="00110D80">
        <w:rPr>
          <w:rFonts w:ascii="Times New Roman" w:hAnsi="Times New Roman" w:cs="Times New Roman"/>
          <w:sz w:val="24"/>
          <w:szCs w:val="24"/>
        </w:rPr>
        <w:t xml:space="preserve"> and rejected that set out in </w:t>
      </w:r>
      <w:r w:rsidR="00110D80" w:rsidRPr="004A70DF">
        <w:rPr>
          <w:rFonts w:ascii="Times New Roman" w:hAnsi="Times New Roman" w:cs="Times New Roman"/>
          <w:b/>
          <w:bCs/>
          <w:sz w:val="24"/>
          <w:szCs w:val="24"/>
        </w:rPr>
        <w:t xml:space="preserve">Rainbird </w:t>
      </w:r>
      <w:r w:rsidR="00110D80">
        <w:rPr>
          <w:rFonts w:ascii="Times New Roman" w:hAnsi="Times New Roman" w:cs="Times New Roman"/>
          <w:sz w:val="24"/>
          <w:szCs w:val="24"/>
        </w:rPr>
        <w:t xml:space="preserve">and came to the conclusion that the  will of Mrs Bean including the words of clause 6 did not evidence any contrary intention. </w:t>
      </w:r>
    </w:p>
    <w:p w14:paraId="6DBF6A6E" w14:textId="77777777" w:rsidR="00110D80" w:rsidRDefault="00110D80" w:rsidP="00467D71">
      <w:pPr>
        <w:shd w:val="clear" w:color="auto" w:fill="FFFFFF"/>
        <w:spacing w:after="120" w:line="480" w:lineRule="auto"/>
        <w:jc w:val="both"/>
        <w:rPr>
          <w:rFonts w:ascii="Times New Roman" w:hAnsi="Times New Roman" w:cs="Times New Roman"/>
          <w:sz w:val="24"/>
          <w:szCs w:val="24"/>
        </w:rPr>
      </w:pPr>
    </w:p>
    <w:p w14:paraId="693CC6C1" w14:textId="6DD080AD" w:rsidR="00231E97" w:rsidRDefault="00110D80" w:rsidP="00467D71">
      <w:pPr>
        <w:shd w:val="clear" w:color="auto" w:fill="FFFFFF"/>
        <w:spacing w:after="120" w:line="480" w:lineRule="auto"/>
        <w:jc w:val="both"/>
        <w:rPr>
          <w:rFonts w:ascii="Times New Roman" w:hAnsi="Times New Roman" w:cs="Times New Roman"/>
          <w:sz w:val="24"/>
          <w:szCs w:val="24"/>
        </w:rPr>
      </w:pPr>
      <w:r w:rsidRPr="00675534">
        <w:rPr>
          <w:rFonts w:ascii="Times New Roman" w:hAnsi="Times New Roman" w:cs="Times New Roman"/>
          <w:b/>
          <w:bCs/>
          <w:sz w:val="24"/>
          <w:szCs w:val="24"/>
        </w:rPr>
        <w:t>Partington v Rossiter</w:t>
      </w:r>
      <w:r>
        <w:rPr>
          <w:rFonts w:ascii="Times New Roman" w:hAnsi="Times New Roman" w:cs="Times New Roman"/>
          <w:sz w:val="24"/>
          <w:szCs w:val="24"/>
        </w:rPr>
        <w:t xml:space="preserve"> </w:t>
      </w:r>
      <w:r w:rsidRPr="00675534">
        <w:rPr>
          <w:rFonts w:ascii="Times New Roman" w:hAnsi="Times New Roman" w:cs="Times New Roman"/>
          <w:b/>
          <w:bCs/>
          <w:sz w:val="24"/>
          <w:szCs w:val="24"/>
        </w:rPr>
        <w:t xml:space="preserve">[2021] EWCA </w:t>
      </w:r>
      <w:proofErr w:type="spellStart"/>
      <w:r w:rsidRPr="00675534">
        <w:rPr>
          <w:rFonts w:ascii="Times New Roman" w:hAnsi="Times New Roman" w:cs="Times New Roman"/>
          <w:b/>
          <w:bCs/>
          <w:sz w:val="24"/>
          <w:szCs w:val="24"/>
        </w:rPr>
        <w:t>Civ</w:t>
      </w:r>
      <w:proofErr w:type="spellEnd"/>
      <w:r w:rsidRPr="00675534">
        <w:rPr>
          <w:rFonts w:ascii="Times New Roman" w:hAnsi="Times New Roman" w:cs="Times New Roman"/>
          <w:b/>
          <w:bCs/>
          <w:sz w:val="24"/>
          <w:szCs w:val="24"/>
        </w:rPr>
        <w:t xml:space="preserve"> 1564 [2022] 2 WLR 37</w:t>
      </w:r>
      <w:r>
        <w:rPr>
          <w:rFonts w:ascii="Times New Roman" w:hAnsi="Times New Roman" w:cs="Times New Roman"/>
          <w:sz w:val="24"/>
          <w:szCs w:val="24"/>
        </w:rPr>
        <w:t xml:space="preserve"> </w:t>
      </w:r>
    </w:p>
    <w:p w14:paraId="0261DA36" w14:textId="77777777" w:rsidR="00110D80" w:rsidRDefault="00110D80" w:rsidP="00467D71">
      <w:p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case the testator’s will stated that it only had effect in relation to his UK Assets.  At the date of his death the Testator had substantial assets in Jersey.  The executor brought a claim for </w:t>
      </w:r>
      <w:r>
        <w:rPr>
          <w:rFonts w:ascii="Times New Roman" w:hAnsi="Times New Roman" w:cs="Times New Roman"/>
          <w:sz w:val="24"/>
          <w:szCs w:val="24"/>
        </w:rPr>
        <w:lastRenderedPageBreak/>
        <w:t xml:space="preserve">a declaration that “UK assets” meant assets in the UK and the Channel Island” the Judge at first instance granted the declaration and the widow who was the Defendant appealed. </w:t>
      </w:r>
    </w:p>
    <w:p w14:paraId="64A9C33A" w14:textId="349BB65F" w:rsidR="00253147" w:rsidRDefault="00110D80" w:rsidP="00467D71">
      <w:p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appeal was dismissed.   Despite the dictionary and statutory definitions of the “United </w:t>
      </w:r>
      <w:r w:rsidR="00BE3198">
        <w:rPr>
          <w:rFonts w:ascii="Times New Roman" w:hAnsi="Times New Roman" w:cs="Times New Roman"/>
          <w:sz w:val="24"/>
          <w:szCs w:val="24"/>
        </w:rPr>
        <w:t>K</w:t>
      </w:r>
      <w:r>
        <w:rPr>
          <w:rFonts w:ascii="Times New Roman" w:hAnsi="Times New Roman" w:cs="Times New Roman"/>
          <w:sz w:val="24"/>
          <w:szCs w:val="24"/>
        </w:rPr>
        <w:t xml:space="preserve">ingdom” excluding the Channel Islands the phrase United </w:t>
      </w:r>
      <w:r w:rsidR="00BE3198">
        <w:rPr>
          <w:rFonts w:ascii="Times New Roman" w:hAnsi="Times New Roman" w:cs="Times New Roman"/>
          <w:sz w:val="24"/>
          <w:szCs w:val="24"/>
        </w:rPr>
        <w:t>K</w:t>
      </w:r>
      <w:r>
        <w:rPr>
          <w:rFonts w:ascii="Times New Roman" w:hAnsi="Times New Roman" w:cs="Times New Roman"/>
          <w:sz w:val="24"/>
          <w:szCs w:val="24"/>
        </w:rPr>
        <w:t xml:space="preserve">ingdom </w:t>
      </w:r>
      <w:r w:rsidR="00BE3198">
        <w:rPr>
          <w:rFonts w:ascii="Times New Roman" w:hAnsi="Times New Roman" w:cs="Times New Roman"/>
          <w:sz w:val="24"/>
          <w:szCs w:val="24"/>
        </w:rPr>
        <w:t xml:space="preserve"> as used in a private instrument was capable of including the Channel Islands but whether it did so in the particular instrument would depend on the interpretation of the instrument in question. The Court strives to give effect to the testator’s intention and purpose as expressed in a will.  The court tries to construe so as to avoid an intestacy or partial intestacy.  The surrounding circumst</w:t>
      </w:r>
      <w:r w:rsidR="00253147">
        <w:rPr>
          <w:rFonts w:ascii="Times New Roman" w:hAnsi="Times New Roman" w:cs="Times New Roman"/>
          <w:sz w:val="24"/>
          <w:szCs w:val="24"/>
        </w:rPr>
        <w:t>a</w:t>
      </w:r>
      <w:r w:rsidR="00BE3198">
        <w:rPr>
          <w:rFonts w:ascii="Times New Roman" w:hAnsi="Times New Roman" w:cs="Times New Roman"/>
          <w:sz w:val="24"/>
          <w:szCs w:val="24"/>
        </w:rPr>
        <w:t>nces within the meaning of section 21(1)(c) of the Adm</w:t>
      </w:r>
      <w:r w:rsidR="00253147">
        <w:rPr>
          <w:rFonts w:ascii="Times New Roman" w:hAnsi="Times New Roman" w:cs="Times New Roman"/>
          <w:sz w:val="24"/>
          <w:szCs w:val="24"/>
        </w:rPr>
        <w:t>i</w:t>
      </w:r>
      <w:r w:rsidR="00BE3198">
        <w:rPr>
          <w:rFonts w:ascii="Times New Roman" w:hAnsi="Times New Roman" w:cs="Times New Roman"/>
          <w:sz w:val="24"/>
          <w:szCs w:val="24"/>
        </w:rPr>
        <w:t xml:space="preserve">nistration of </w:t>
      </w:r>
      <w:r w:rsidR="00253147">
        <w:rPr>
          <w:rFonts w:ascii="Times New Roman" w:hAnsi="Times New Roman" w:cs="Times New Roman"/>
          <w:sz w:val="24"/>
          <w:szCs w:val="24"/>
        </w:rPr>
        <w:t>J</w:t>
      </w:r>
      <w:r w:rsidR="00BE3198">
        <w:rPr>
          <w:rFonts w:ascii="Times New Roman" w:hAnsi="Times New Roman" w:cs="Times New Roman"/>
          <w:sz w:val="24"/>
          <w:szCs w:val="24"/>
        </w:rPr>
        <w:t>usti</w:t>
      </w:r>
      <w:r w:rsidR="00253147">
        <w:rPr>
          <w:rFonts w:ascii="Times New Roman" w:hAnsi="Times New Roman" w:cs="Times New Roman"/>
          <w:sz w:val="24"/>
          <w:szCs w:val="24"/>
        </w:rPr>
        <w:t>c</w:t>
      </w:r>
      <w:r w:rsidR="00BE3198">
        <w:rPr>
          <w:rFonts w:ascii="Times New Roman" w:hAnsi="Times New Roman" w:cs="Times New Roman"/>
          <w:sz w:val="24"/>
          <w:szCs w:val="24"/>
        </w:rPr>
        <w:t xml:space="preserve">e Act 1982 included anything which might be relevant to the </w:t>
      </w:r>
      <w:r w:rsidR="00793B11">
        <w:rPr>
          <w:rFonts w:ascii="Times New Roman" w:hAnsi="Times New Roman" w:cs="Times New Roman"/>
          <w:sz w:val="24"/>
          <w:szCs w:val="24"/>
        </w:rPr>
        <w:t>w</w:t>
      </w:r>
      <w:r w:rsidR="00BE3198">
        <w:rPr>
          <w:rFonts w:ascii="Times New Roman" w:hAnsi="Times New Roman" w:cs="Times New Roman"/>
          <w:sz w:val="24"/>
          <w:szCs w:val="24"/>
        </w:rPr>
        <w:t>ay in which a reasonable reader would understand a Will save for evidence of subjective intention and would include the nature and location of assets at the date of the will and (possibl</w:t>
      </w:r>
      <w:r w:rsidR="00253147">
        <w:rPr>
          <w:rFonts w:ascii="Times New Roman" w:hAnsi="Times New Roman" w:cs="Times New Roman"/>
          <w:sz w:val="24"/>
          <w:szCs w:val="24"/>
        </w:rPr>
        <w:t>y</w:t>
      </w:r>
      <w:r w:rsidR="00BE3198">
        <w:rPr>
          <w:rFonts w:ascii="Times New Roman" w:hAnsi="Times New Roman" w:cs="Times New Roman"/>
          <w:sz w:val="24"/>
          <w:szCs w:val="24"/>
        </w:rPr>
        <w:t>) at the date of death.  In this case there were two possible interpretatio</w:t>
      </w:r>
      <w:r w:rsidR="00253147">
        <w:rPr>
          <w:rFonts w:ascii="Times New Roman" w:hAnsi="Times New Roman" w:cs="Times New Roman"/>
          <w:sz w:val="24"/>
          <w:szCs w:val="24"/>
        </w:rPr>
        <w:t>n</w:t>
      </w:r>
      <w:r w:rsidR="00BE3198">
        <w:rPr>
          <w:rFonts w:ascii="Times New Roman" w:hAnsi="Times New Roman" w:cs="Times New Roman"/>
          <w:sz w:val="24"/>
          <w:szCs w:val="24"/>
        </w:rPr>
        <w:t>s being an inclusive a</w:t>
      </w:r>
      <w:r w:rsidR="00253147">
        <w:rPr>
          <w:rFonts w:ascii="Times New Roman" w:hAnsi="Times New Roman" w:cs="Times New Roman"/>
          <w:sz w:val="24"/>
          <w:szCs w:val="24"/>
        </w:rPr>
        <w:t>n</w:t>
      </w:r>
      <w:r w:rsidR="00BE3198">
        <w:rPr>
          <w:rFonts w:ascii="Times New Roman" w:hAnsi="Times New Roman" w:cs="Times New Roman"/>
          <w:sz w:val="24"/>
          <w:szCs w:val="24"/>
        </w:rPr>
        <w:t>d an exclusive interpretation.  It was unlikely that the deceased had i</w:t>
      </w:r>
      <w:r w:rsidR="00253147">
        <w:rPr>
          <w:rFonts w:ascii="Times New Roman" w:hAnsi="Times New Roman" w:cs="Times New Roman"/>
          <w:sz w:val="24"/>
          <w:szCs w:val="24"/>
        </w:rPr>
        <w:t>n</w:t>
      </w:r>
      <w:r w:rsidR="00BE3198">
        <w:rPr>
          <w:rFonts w:ascii="Times New Roman" w:hAnsi="Times New Roman" w:cs="Times New Roman"/>
          <w:sz w:val="24"/>
          <w:szCs w:val="24"/>
        </w:rPr>
        <w:t xml:space="preserve">tended </w:t>
      </w:r>
      <w:r w:rsidR="00253147">
        <w:rPr>
          <w:rFonts w:ascii="Times New Roman" w:hAnsi="Times New Roman" w:cs="Times New Roman"/>
          <w:sz w:val="24"/>
          <w:szCs w:val="24"/>
        </w:rPr>
        <w:t>t</w:t>
      </w:r>
      <w:r w:rsidR="00BE3198">
        <w:rPr>
          <w:rFonts w:ascii="Times New Roman" w:hAnsi="Times New Roman" w:cs="Times New Roman"/>
          <w:sz w:val="24"/>
          <w:szCs w:val="24"/>
        </w:rPr>
        <w:t xml:space="preserve">o die partially intestate. </w:t>
      </w:r>
      <w:r w:rsidR="00253147">
        <w:rPr>
          <w:rFonts w:ascii="Times New Roman" w:hAnsi="Times New Roman" w:cs="Times New Roman"/>
          <w:sz w:val="24"/>
          <w:szCs w:val="24"/>
        </w:rPr>
        <w:t xml:space="preserve">Per LJ Lewison [29] </w:t>
      </w:r>
      <w:r w:rsidR="00253147" w:rsidRPr="00253147">
        <w:rPr>
          <w:rFonts w:ascii="Times New Roman" w:hAnsi="Times New Roman" w:cs="Times New Roman"/>
          <w:i/>
          <w:iCs/>
          <w:sz w:val="24"/>
          <w:szCs w:val="24"/>
        </w:rPr>
        <w:t>“It has long been a principle of interpretation of contracts that if one realistic interpretation would result in the contract being inv</w:t>
      </w:r>
      <w:r w:rsidR="00793B11">
        <w:rPr>
          <w:rFonts w:ascii="Times New Roman" w:hAnsi="Times New Roman" w:cs="Times New Roman"/>
          <w:i/>
          <w:iCs/>
          <w:sz w:val="24"/>
          <w:szCs w:val="24"/>
        </w:rPr>
        <w:t>a</w:t>
      </w:r>
      <w:r w:rsidR="00253147" w:rsidRPr="00253147">
        <w:rPr>
          <w:rFonts w:ascii="Times New Roman" w:hAnsi="Times New Roman" w:cs="Times New Roman"/>
          <w:i/>
          <w:iCs/>
          <w:sz w:val="24"/>
          <w:szCs w:val="24"/>
        </w:rPr>
        <w:t>lid and another realistic interpretation would result in it being valid, the Court would prefer the latter.  That principle finds its parallel in relation to wills, in that the court will try to interpret a will so as to avoid intestacy, either in whole or in part.”</w:t>
      </w:r>
      <w:r w:rsidR="00BE3198">
        <w:rPr>
          <w:rFonts w:ascii="Times New Roman" w:hAnsi="Times New Roman" w:cs="Times New Roman"/>
          <w:sz w:val="24"/>
          <w:szCs w:val="24"/>
        </w:rPr>
        <w:t xml:space="preserve"> The will was ambiguous in the light of the surrounding circumstances</w:t>
      </w:r>
      <w:r w:rsidR="00253147">
        <w:rPr>
          <w:rFonts w:ascii="Times New Roman" w:hAnsi="Times New Roman" w:cs="Times New Roman"/>
          <w:sz w:val="24"/>
          <w:szCs w:val="24"/>
        </w:rPr>
        <w:t xml:space="preserve">.  As a result evidence of subjective intention was admissible pursuant to section 21(2) and on that evidence it was clear beyond doubt that the testator intended references to United Kingdom to include Jersey and so where the abbreviation UK was used it included Jersey. </w:t>
      </w:r>
    </w:p>
    <w:p w14:paraId="72E570F2" w14:textId="54B02597" w:rsidR="00110D80" w:rsidRDefault="00BE3198" w:rsidP="00467D71">
      <w:p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3147">
        <w:rPr>
          <w:rFonts w:ascii="Times New Roman" w:hAnsi="Times New Roman" w:cs="Times New Roman"/>
          <w:sz w:val="24"/>
          <w:szCs w:val="24"/>
        </w:rPr>
        <w:t xml:space="preserve">This case shows that language which appears clear and unambiguous on its face may when considered in the light of the surrounding circumstances be in fact ambiguous and in that case extrinsic evidence of subjective intention will be admissible. </w:t>
      </w:r>
    </w:p>
    <w:p w14:paraId="57540B9E" w14:textId="7F2363FF" w:rsidR="00793B11" w:rsidRPr="004A70DF" w:rsidRDefault="00793B11" w:rsidP="00467D71">
      <w:pPr>
        <w:shd w:val="clear" w:color="auto" w:fill="FFFFFF"/>
        <w:spacing w:after="120" w:line="480" w:lineRule="auto"/>
        <w:jc w:val="both"/>
        <w:rPr>
          <w:rFonts w:ascii="Times New Roman" w:hAnsi="Times New Roman" w:cs="Times New Roman"/>
          <w:sz w:val="24"/>
          <w:szCs w:val="24"/>
        </w:rPr>
      </w:pPr>
      <w:r w:rsidRPr="00675534">
        <w:rPr>
          <w:rFonts w:ascii="Times New Roman" w:hAnsi="Times New Roman" w:cs="Times New Roman"/>
          <w:b/>
          <w:bCs/>
          <w:sz w:val="24"/>
          <w:szCs w:val="24"/>
          <w:u w:val="single"/>
        </w:rPr>
        <w:lastRenderedPageBreak/>
        <w:t xml:space="preserve">Royal Commonwealth Society for the Blind v Beasant and another </w:t>
      </w:r>
      <w:r w:rsidRPr="004A70DF">
        <w:rPr>
          <w:rFonts w:ascii="Times New Roman" w:hAnsi="Times New Roman" w:cs="Times New Roman"/>
          <w:sz w:val="24"/>
          <w:szCs w:val="24"/>
        </w:rPr>
        <w:t>[2021] EWHC 2315 (Ch)</w:t>
      </w:r>
    </w:p>
    <w:p w14:paraId="0BC02587" w14:textId="7C5F2D1B" w:rsidR="00793B11" w:rsidRDefault="00793B11" w:rsidP="00467D71">
      <w:p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case concerned the proper construction of a nil rate band gift.   The estate was worth £3,127,174 before payment of IHT. The Claimant was one of 21 residuary beneficiaries all of which were described in the will as charities  but of which one was in fact not a charity. </w:t>
      </w:r>
    </w:p>
    <w:p w14:paraId="6A52537A" w14:textId="4FB5BC5A" w:rsidR="00793B11" w:rsidRDefault="00793B11" w:rsidP="00467D71">
      <w:p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is a decision of Master Shuman. </w:t>
      </w:r>
    </w:p>
    <w:p w14:paraId="52FBB4A6" w14:textId="6E51F93B" w:rsidR="00793B11" w:rsidRDefault="00793B11" w:rsidP="00467D71">
      <w:p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She stated that the principles re interpretation of Wills are as set out in </w:t>
      </w:r>
      <w:r w:rsidRPr="00675534">
        <w:rPr>
          <w:rFonts w:ascii="Times New Roman" w:hAnsi="Times New Roman" w:cs="Times New Roman"/>
          <w:b/>
          <w:bCs/>
          <w:sz w:val="24"/>
          <w:szCs w:val="24"/>
        </w:rPr>
        <w:t>Marley</w:t>
      </w:r>
      <w:r>
        <w:rPr>
          <w:rFonts w:ascii="Times New Roman" w:hAnsi="Times New Roman" w:cs="Times New Roman"/>
          <w:sz w:val="24"/>
          <w:szCs w:val="24"/>
        </w:rPr>
        <w:t xml:space="preserve">. She also referred to the most recent iteration of the Supreme Court on the interpretation of contracts in </w:t>
      </w:r>
      <w:r w:rsidRPr="00675534">
        <w:rPr>
          <w:rFonts w:ascii="Times New Roman" w:hAnsi="Times New Roman" w:cs="Times New Roman"/>
          <w:b/>
          <w:bCs/>
          <w:sz w:val="24"/>
          <w:szCs w:val="24"/>
        </w:rPr>
        <w:t>Wood v Capita Insurance Services</w:t>
      </w:r>
      <w:r>
        <w:rPr>
          <w:rFonts w:ascii="Times New Roman" w:hAnsi="Times New Roman" w:cs="Times New Roman"/>
          <w:sz w:val="24"/>
          <w:szCs w:val="24"/>
        </w:rPr>
        <w:t xml:space="preserve"> [2017] UKSC 24. </w:t>
      </w:r>
    </w:p>
    <w:p w14:paraId="59D332DC" w14:textId="0B27567B" w:rsidR="00793B11" w:rsidRDefault="00793B11" w:rsidP="00467D71">
      <w:p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The relevant clause in this will was as follows:</w:t>
      </w:r>
    </w:p>
    <w:p w14:paraId="7F2D6C85" w14:textId="04BBFA20" w:rsidR="00793B11" w:rsidRPr="00675534" w:rsidRDefault="00793B11" w:rsidP="00467D71">
      <w:pPr>
        <w:shd w:val="clear" w:color="auto" w:fill="FFFFFF"/>
        <w:spacing w:after="120" w:line="480" w:lineRule="auto"/>
        <w:jc w:val="both"/>
        <w:rPr>
          <w:rFonts w:ascii="Times New Roman" w:hAnsi="Times New Roman" w:cs="Times New Roman"/>
          <w:i/>
          <w:iCs/>
          <w:sz w:val="24"/>
          <w:szCs w:val="24"/>
        </w:rPr>
      </w:pPr>
      <w:r w:rsidRPr="00675534">
        <w:rPr>
          <w:rFonts w:ascii="Times New Roman" w:hAnsi="Times New Roman" w:cs="Times New Roman"/>
          <w:i/>
          <w:iCs/>
          <w:sz w:val="24"/>
          <w:szCs w:val="24"/>
        </w:rPr>
        <w:t>“4.</w:t>
      </w:r>
      <w:r w:rsidRPr="00675534">
        <w:rPr>
          <w:rFonts w:ascii="Times New Roman" w:hAnsi="Times New Roman" w:cs="Times New Roman"/>
          <w:i/>
          <w:iCs/>
          <w:sz w:val="24"/>
          <w:szCs w:val="24"/>
        </w:rPr>
        <w:tab/>
        <w:t xml:space="preserve">I GIVE the </w:t>
      </w:r>
      <w:r w:rsidR="00632D10" w:rsidRPr="00675534">
        <w:rPr>
          <w:rFonts w:ascii="Times New Roman" w:hAnsi="Times New Roman" w:cs="Times New Roman"/>
          <w:i/>
          <w:iCs/>
          <w:sz w:val="24"/>
          <w:szCs w:val="24"/>
        </w:rPr>
        <w:t>N</w:t>
      </w:r>
      <w:r w:rsidRPr="00675534">
        <w:rPr>
          <w:rFonts w:ascii="Times New Roman" w:hAnsi="Times New Roman" w:cs="Times New Roman"/>
          <w:i/>
          <w:iCs/>
          <w:sz w:val="24"/>
          <w:szCs w:val="24"/>
        </w:rPr>
        <w:t>il</w:t>
      </w:r>
      <w:r w:rsidR="00632D10" w:rsidRPr="00675534">
        <w:rPr>
          <w:rFonts w:ascii="Times New Roman" w:hAnsi="Times New Roman" w:cs="Times New Roman"/>
          <w:i/>
          <w:iCs/>
          <w:sz w:val="24"/>
          <w:szCs w:val="24"/>
        </w:rPr>
        <w:t>-R</w:t>
      </w:r>
      <w:r w:rsidRPr="00675534">
        <w:rPr>
          <w:rFonts w:ascii="Times New Roman" w:hAnsi="Times New Roman" w:cs="Times New Roman"/>
          <w:i/>
          <w:iCs/>
          <w:sz w:val="24"/>
          <w:szCs w:val="24"/>
        </w:rPr>
        <w:t xml:space="preserve">ate </w:t>
      </w:r>
      <w:r w:rsidR="00632D10" w:rsidRPr="00675534">
        <w:rPr>
          <w:rFonts w:ascii="Times New Roman" w:hAnsi="Times New Roman" w:cs="Times New Roman"/>
          <w:i/>
          <w:iCs/>
          <w:sz w:val="24"/>
          <w:szCs w:val="24"/>
        </w:rPr>
        <w:t>S</w:t>
      </w:r>
      <w:r w:rsidRPr="00675534">
        <w:rPr>
          <w:rFonts w:ascii="Times New Roman" w:hAnsi="Times New Roman" w:cs="Times New Roman"/>
          <w:i/>
          <w:iCs/>
          <w:sz w:val="24"/>
          <w:szCs w:val="24"/>
        </w:rPr>
        <w:t>um to my T</w:t>
      </w:r>
      <w:r w:rsidR="00632D10" w:rsidRPr="00675534">
        <w:rPr>
          <w:rFonts w:ascii="Times New Roman" w:hAnsi="Times New Roman" w:cs="Times New Roman"/>
          <w:i/>
          <w:iCs/>
          <w:sz w:val="24"/>
          <w:szCs w:val="24"/>
        </w:rPr>
        <w:t>ru</w:t>
      </w:r>
      <w:r w:rsidRPr="00675534">
        <w:rPr>
          <w:rFonts w:ascii="Times New Roman" w:hAnsi="Times New Roman" w:cs="Times New Roman"/>
          <w:i/>
          <w:iCs/>
          <w:sz w:val="24"/>
          <w:szCs w:val="24"/>
        </w:rPr>
        <w:t>stees on trust for my said friend John Wayland Beasant</w:t>
      </w:r>
      <w:r w:rsidR="00632D10" w:rsidRPr="00675534">
        <w:rPr>
          <w:rFonts w:ascii="Times New Roman" w:hAnsi="Times New Roman" w:cs="Times New Roman"/>
          <w:i/>
          <w:iCs/>
          <w:sz w:val="24"/>
          <w:szCs w:val="24"/>
        </w:rPr>
        <w:t>.</w:t>
      </w:r>
    </w:p>
    <w:p w14:paraId="544B8A25" w14:textId="3B611635" w:rsidR="00632D10" w:rsidRPr="00675534" w:rsidRDefault="00632D10" w:rsidP="00467D71">
      <w:pPr>
        <w:shd w:val="clear" w:color="auto" w:fill="FFFFFF"/>
        <w:spacing w:after="120" w:line="480" w:lineRule="auto"/>
        <w:jc w:val="both"/>
        <w:rPr>
          <w:rFonts w:ascii="Times New Roman" w:hAnsi="Times New Roman" w:cs="Times New Roman"/>
          <w:i/>
          <w:iCs/>
          <w:sz w:val="24"/>
          <w:szCs w:val="24"/>
        </w:rPr>
      </w:pPr>
      <w:r w:rsidRPr="00675534">
        <w:rPr>
          <w:rFonts w:ascii="Times New Roman" w:hAnsi="Times New Roman" w:cs="Times New Roman"/>
          <w:i/>
          <w:iCs/>
          <w:sz w:val="24"/>
          <w:szCs w:val="24"/>
        </w:rPr>
        <w:t>4.1</w:t>
      </w:r>
      <w:r w:rsidRPr="00675534">
        <w:rPr>
          <w:rFonts w:ascii="Times New Roman" w:hAnsi="Times New Roman" w:cs="Times New Roman"/>
          <w:i/>
          <w:iCs/>
          <w:sz w:val="24"/>
          <w:szCs w:val="24"/>
        </w:rPr>
        <w:tab/>
        <w:t xml:space="preserve">In this clause “the Nil-Rate Sum” means the largest sum of cash which could be given on the trusts of this clause without any inheritance tax becoming due in respect of the transfer of the value of my estate which I am deemed to make immediately before my death.”  </w:t>
      </w:r>
    </w:p>
    <w:p w14:paraId="0A109C89" w14:textId="3A774470" w:rsidR="00632D10" w:rsidRDefault="00632D10" w:rsidP="00467D71">
      <w:p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It was significant that the gifts which followed were expressed to be free of Inheritance tax and were gifts of real property valued at £240,000 and shares.   Clause 8 provided for pecuniary legacies again expressed to be free of tax totalling £45,000 and the residue was given to 21 bodies of which 20 were charities and so exempt from IHT.  </w:t>
      </w:r>
    </w:p>
    <w:p w14:paraId="0C8959FA" w14:textId="5EC8A0DE" w:rsidR="00632D10" w:rsidRDefault="00632D10" w:rsidP="00467D71">
      <w:p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The issue was whether on a true construction the gift in clause 4 was a gift of £325,000 or was a gift of what was left of the nil rate band having taken account of the effect of the value of the other gifts given free from tax or where IHT is charged at the nil rate.  The claimant contended for the former which would result in Mr Beasant receiving nothing. </w:t>
      </w:r>
    </w:p>
    <w:p w14:paraId="51D03AD1" w14:textId="4C221A2F" w:rsidR="00632D10" w:rsidRDefault="00632D10" w:rsidP="00467D71">
      <w:p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case was very similar to that of </w:t>
      </w:r>
      <w:r w:rsidRPr="00675534">
        <w:rPr>
          <w:rFonts w:ascii="Times New Roman" w:hAnsi="Times New Roman" w:cs="Times New Roman"/>
          <w:b/>
          <w:bCs/>
          <w:sz w:val="24"/>
          <w:szCs w:val="24"/>
        </w:rPr>
        <w:t>RSPCA v Sharp</w:t>
      </w:r>
      <w:r>
        <w:rPr>
          <w:rFonts w:ascii="Times New Roman" w:hAnsi="Times New Roman" w:cs="Times New Roman"/>
          <w:sz w:val="24"/>
          <w:szCs w:val="24"/>
        </w:rPr>
        <w:t xml:space="preserve"> [2010] EWCA </w:t>
      </w:r>
      <w:proofErr w:type="spellStart"/>
      <w:r>
        <w:rPr>
          <w:rFonts w:ascii="Times New Roman" w:hAnsi="Times New Roman" w:cs="Times New Roman"/>
          <w:sz w:val="24"/>
          <w:szCs w:val="24"/>
        </w:rPr>
        <w:t>Civ</w:t>
      </w:r>
      <w:proofErr w:type="spellEnd"/>
      <w:r>
        <w:rPr>
          <w:rFonts w:ascii="Times New Roman" w:hAnsi="Times New Roman" w:cs="Times New Roman"/>
          <w:sz w:val="24"/>
          <w:szCs w:val="24"/>
        </w:rPr>
        <w:t xml:space="preserve"> 1474.  The Defendant argued that the will should be construed omitting clause 4.1  and if  that did n</w:t>
      </w:r>
      <w:r w:rsidR="003D7C8F">
        <w:rPr>
          <w:rFonts w:ascii="Times New Roman" w:hAnsi="Times New Roman" w:cs="Times New Roman"/>
          <w:sz w:val="24"/>
          <w:szCs w:val="24"/>
        </w:rPr>
        <w:t>ot</w:t>
      </w:r>
      <w:r>
        <w:rPr>
          <w:rFonts w:ascii="Times New Roman" w:hAnsi="Times New Roman" w:cs="Times New Roman"/>
          <w:sz w:val="24"/>
          <w:szCs w:val="24"/>
        </w:rPr>
        <w:t xml:space="preserve"> find </w:t>
      </w:r>
      <w:r w:rsidR="003D7C8F">
        <w:rPr>
          <w:rFonts w:ascii="Times New Roman" w:hAnsi="Times New Roman" w:cs="Times New Roman"/>
          <w:sz w:val="24"/>
          <w:szCs w:val="24"/>
        </w:rPr>
        <w:t>f</w:t>
      </w:r>
      <w:r>
        <w:rPr>
          <w:rFonts w:ascii="Times New Roman" w:hAnsi="Times New Roman" w:cs="Times New Roman"/>
          <w:sz w:val="24"/>
          <w:szCs w:val="24"/>
        </w:rPr>
        <w:t>avour pointed out that cla</w:t>
      </w:r>
      <w:r w:rsidR="003D7C8F">
        <w:rPr>
          <w:rFonts w:ascii="Times New Roman" w:hAnsi="Times New Roman" w:cs="Times New Roman"/>
          <w:sz w:val="24"/>
          <w:szCs w:val="24"/>
        </w:rPr>
        <w:t>u</w:t>
      </w:r>
      <w:r>
        <w:rPr>
          <w:rFonts w:ascii="Times New Roman" w:hAnsi="Times New Roman" w:cs="Times New Roman"/>
          <w:sz w:val="24"/>
          <w:szCs w:val="24"/>
        </w:rPr>
        <w:t xml:space="preserve">se 4.1 did not mention the other nil rate gifts in the Will. </w:t>
      </w:r>
    </w:p>
    <w:p w14:paraId="4A07D3A1" w14:textId="5912BF0B" w:rsidR="003D7C8F" w:rsidRDefault="003D7C8F" w:rsidP="00467D71">
      <w:p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Master concluded that if the testator has wanted to make a gift of £325,000 to the beneficiary she could easily have done so.  She did not.   Equally it could have been worded as a gift of a sum free from tax, albeit the tax would have to be borne somewhere.   The clause demonstrated an understanding of how IHT is chargeable. She did not accept that the words used in clause 4.1 where superfluous or otiose and found for the Claimant. </w:t>
      </w:r>
    </w:p>
    <w:p w14:paraId="3F37DD71" w14:textId="5D3706B9" w:rsidR="003D7C8F" w:rsidRDefault="003D7C8F" w:rsidP="00467D71">
      <w:pPr>
        <w:shd w:val="clear" w:color="auto" w:fill="FFFFFF"/>
        <w:spacing w:after="120" w:line="480" w:lineRule="auto"/>
        <w:jc w:val="both"/>
        <w:rPr>
          <w:rFonts w:ascii="Times New Roman" w:hAnsi="Times New Roman" w:cs="Times New Roman"/>
          <w:sz w:val="24"/>
          <w:szCs w:val="24"/>
        </w:rPr>
      </w:pPr>
    </w:p>
    <w:p w14:paraId="2309DCC6" w14:textId="31A32F4F" w:rsidR="003D7C8F" w:rsidRPr="00675534" w:rsidRDefault="003D7C8F" w:rsidP="00467D71">
      <w:pPr>
        <w:shd w:val="clear" w:color="auto" w:fill="FFFFFF"/>
        <w:spacing w:after="120" w:line="480" w:lineRule="auto"/>
        <w:jc w:val="both"/>
        <w:rPr>
          <w:rFonts w:ascii="Times New Roman" w:hAnsi="Times New Roman" w:cs="Times New Roman"/>
          <w:b/>
          <w:bCs/>
          <w:sz w:val="24"/>
          <w:szCs w:val="24"/>
          <w:u w:val="single"/>
        </w:rPr>
      </w:pPr>
      <w:r w:rsidRPr="00675534">
        <w:rPr>
          <w:rFonts w:ascii="Times New Roman" w:hAnsi="Times New Roman" w:cs="Times New Roman"/>
          <w:b/>
          <w:bCs/>
          <w:sz w:val="24"/>
          <w:szCs w:val="24"/>
          <w:u w:val="single"/>
        </w:rPr>
        <w:t xml:space="preserve">Donald Keith </w:t>
      </w:r>
      <w:proofErr w:type="spellStart"/>
      <w:r w:rsidRPr="00675534">
        <w:rPr>
          <w:rFonts w:ascii="Times New Roman" w:hAnsi="Times New Roman" w:cs="Times New Roman"/>
          <w:b/>
          <w:bCs/>
          <w:sz w:val="24"/>
          <w:szCs w:val="24"/>
          <w:u w:val="single"/>
        </w:rPr>
        <w:t>Eade</w:t>
      </w:r>
      <w:proofErr w:type="spellEnd"/>
      <w:r w:rsidRPr="00675534">
        <w:rPr>
          <w:rFonts w:ascii="Times New Roman" w:hAnsi="Times New Roman" w:cs="Times New Roman"/>
          <w:b/>
          <w:bCs/>
          <w:sz w:val="24"/>
          <w:szCs w:val="24"/>
          <w:u w:val="single"/>
        </w:rPr>
        <w:t xml:space="preserve"> v Rowland Anthony </w:t>
      </w:r>
      <w:proofErr w:type="spellStart"/>
      <w:r w:rsidRPr="00675534">
        <w:rPr>
          <w:rFonts w:ascii="Times New Roman" w:hAnsi="Times New Roman" w:cs="Times New Roman"/>
          <w:b/>
          <w:bCs/>
          <w:sz w:val="24"/>
          <w:szCs w:val="24"/>
          <w:u w:val="single"/>
        </w:rPr>
        <w:t>Rymer</w:t>
      </w:r>
      <w:proofErr w:type="spellEnd"/>
      <w:r w:rsidRPr="00675534">
        <w:rPr>
          <w:rFonts w:ascii="Times New Roman" w:hAnsi="Times New Roman" w:cs="Times New Roman"/>
          <w:b/>
          <w:bCs/>
          <w:sz w:val="24"/>
          <w:szCs w:val="24"/>
          <w:u w:val="single"/>
        </w:rPr>
        <w:t xml:space="preserve"> Hogg and others</w:t>
      </w:r>
      <w:r w:rsidR="0082005B" w:rsidRPr="00675534">
        <w:rPr>
          <w:rFonts w:ascii="Times New Roman" w:hAnsi="Times New Roman" w:cs="Times New Roman"/>
          <w:b/>
          <w:bCs/>
          <w:sz w:val="24"/>
          <w:szCs w:val="24"/>
          <w:u w:val="single"/>
        </w:rPr>
        <w:t xml:space="preserve"> including Cancer </w:t>
      </w:r>
      <w:r w:rsidR="006619CE">
        <w:rPr>
          <w:rFonts w:ascii="Times New Roman" w:hAnsi="Times New Roman" w:cs="Times New Roman"/>
          <w:b/>
          <w:bCs/>
          <w:sz w:val="24"/>
          <w:szCs w:val="24"/>
          <w:u w:val="single"/>
        </w:rPr>
        <w:t>R</w:t>
      </w:r>
      <w:r w:rsidR="0082005B" w:rsidRPr="00675534">
        <w:rPr>
          <w:rFonts w:ascii="Times New Roman" w:hAnsi="Times New Roman" w:cs="Times New Roman"/>
          <w:b/>
          <w:bCs/>
          <w:sz w:val="24"/>
          <w:szCs w:val="24"/>
          <w:u w:val="single"/>
        </w:rPr>
        <w:t>esearch UK</w:t>
      </w:r>
      <w:r w:rsidR="006867EE">
        <w:rPr>
          <w:rFonts w:ascii="Times New Roman" w:hAnsi="Times New Roman" w:cs="Times New Roman"/>
          <w:b/>
          <w:bCs/>
          <w:sz w:val="24"/>
          <w:szCs w:val="24"/>
          <w:u w:val="single"/>
        </w:rPr>
        <w:t xml:space="preserve"> </w:t>
      </w:r>
      <w:r w:rsidR="006867EE" w:rsidRPr="004A70DF">
        <w:rPr>
          <w:rFonts w:ascii="Times New Roman" w:hAnsi="Times New Roman" w:cs="Times New Roman"/>
          <w:sz w:val="24"/>
          <w:szCs w:val="24"/>
        </w:rPr>
        <w:t>[2021] EWHC 1057 (Ch)</w:t>
      </w:r>
    </w:p>
    <w:p w14:paraId="53B38AC0" w14:textId="4E2B58BE" w:rsidR="003D7C8F" w:rsidRDefault="003D7C8F" w:rsidP="00467D71">
      <w:p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This was a claim put at its simplest as stated by Deputy Master Linwood “to rectify or construe a will by replacing the word “both” with “each”. </w:t>
      </w:r>
    </w:p>
    <w:p w14:paraId="6FF84700" w14:textId="35EC709D" w:rsidR="003D7C8F" w:rsidRDefault="003D7C8F" w:rsidP="00467D71">
      <w:p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claim related to clause 2(b) </w:t>
      </w:r>
      <w:r w:rsidR="0082005B">
        <w:rPr>
          <w:rFonts w:ascii="Times New Roman" w:hAnsi="Times New Roman" w:cs="Times New Roman"/>
          <w:sz w:val="24"/>
          <w:szCs w:val="24"/>
        </w:rPr>
        <w:t>o</w:t>
      </w:r>
      <w:r>
        <w:rPr>
          <w:rFonts w:ascii="Times New Roman" w:hAnsi="Times New Roman" w:cs="Times New Roman"/>
          <w:sz w:val="24"/>
          <w:szCs w:val="24"/>
        </w:rPr>
        <w:t xml:space="preserve">f the </w:t>
      </w:r>
      <w:r w:rsidR="0082005B">
        <w:rPr>
          <w:rFonts w:ascii="Times New Roman" w:hAnsi="Times New Roman" w:cs="Times New Roman"/>
          <w:sz w:val="24"/>
          <w:szCs w:val="24"/>
        </w:rPr>
        <w:t>w</w:t>
      </w:r>
      <w:r>
        <w:rPr>
          <w:rFonts w:ascii="Times New Roman" w:hAnsi="Times New Roman" w:cs="Times New Roman"/>
          <w:sz w:val="24"/>
          <w:szCs w:val="24"/>
        </w:rPr>
        <w:t>ill of Mr Nodes.  It provided as follows:</w:t>
      </w:r>
    </w:p>
    <w:p w14:paraId="07188320" w14:textId="5FCA9D13" w:rsidR="003D7C8F" w:rsidRPr="00675534" w:rsidRDefault="003D7C8F" w:rsidP="00467D71">
      <w:pPr>
        <w:shd w:val="clear" w:color="auto" w:fill="FFFFFF"/>
        <w:spacing w:after="120" w:line="480" w:lineRule="auto"/>
        <w:jc w:val="both"/>
        <w:rPr>
          <w:rFonts w:ascii="Times New Roman" w:hAnsi="Times New Roman" w:cs="Times New Roman"/>
          <w:i/>
          <w:iCs/>
          <w:sz w:val="24"/>
          <w:szCs w:val="24"/>
        </w:rPr>
      </w:pPr>
      <w:r w:rsidRPr="00675534">
        <w:rPr>
          <w:rFonts w:ascii="Times New Roman" w:hAnsi="Times New Roman" w:cs="Times New Roman"/>
          <w:i/>
          <w:iCs/>
          <w:sz w:val="24"/>
          <w:szCs w:val="24"/>
        </w:rPr>
        <w:t>(b</w:t>
      </w:r>
      <w:r w:rsidR="00675534" w:rsidRPr="00675534">
        <w:rPr>
          <w:rFonts w:ascii="Times New Roman" w:hAnsi="Times New Roman" w:cs="Times New Roman"/>
          <w:i/>
          <w:iCs/>
          <w:sz w:val="24"/>
          <w:szCs w:val="24"/>
        </w:rPr>
        <w:t>)</w:t>
      </w:r>
      <w:r w:rsidRPr="00675534">
        <w:rPr>
          <w:rFonts w:ascii="Times New Roman" w:hAnsi="Times New Roman" w:cs="Times New Roman"/>
          <w:i/>
          <w:iCs/>
          <w:sz w:val="24"/>
          <w:szCs w:val="24"/>
        </w:rPr>
        <w:tab/>
        <w:t>during the l</w:t>
      </w:r>
      <w:r w:rsidR="0082005B" w:rsidRPr="00675534">
        <w:rPr>
          <w:rFonts w:ascii="Times New Roman" w:hAnsi="Times New Roman" w:cs="Times New Roman"/>
          <w:i/>
          <w:iCs/>
          <w:sz w:val="24"/>
          <w:szCs w:val="24"/>
        </w:rPr>
        <w:t>i</w:t>
      </w:r>
      <w:r w:rsidRPr="00675534">
        <w:rPr>
          <w:rFonts w:ascii="Times New Roman" w:hAnsi="Times New Roman" w:cs="Times New Roman"/>
          <w:i/>
          <w:iCs/>
          <w:sz w:val="24"/>
          <w:szCs w:val="24"/>
        </w:rPr>
        <w:t>fe o</w:t>
      </w:r>
      <w:r w:rsidR="0082005B" w:rsidRPr="00675534">
        <w:rPr>
          <w:rFonts w:ascii="Times New Roman" w:hAnsi="Times New Roman" w:cs="Times New Roman"/>
          <w:i/>
          <w:iCs/>
          <w:sz w:val="24"/>
          <w:szCs w:val="24"/>
        </w:rPr>
        <w:t>f</w:t>
      </w:r>
      <w:r w:rsidRPr="00675534">
        <w:rPr>
          <w:rFonts w:ascii="Times New Roman" w:hAnsi="Times New Roman" w:cs="Times New Roman"/>
          <w:i/>
          <w:iCs/>
          <w:sz w:val="24"/>
          <w:szCs w:val="24"/>
        </w:rPr>
        <w:t xml:space="preserve"> my said wife PATRICIA ANN NODES my Tru</w:t>
      </w:r>
      <w:r w:rsidR="0082005B" w:rsidRPr="00675534">
        <w:rPr>
          <w:rFonts w:ascii="Times New Roman" w:hAnsi="Times New Roman" w:cs="Times New Roman"/>
          <w:i/>
          <w:iCs/>
          <w:sz w:val="24"/>
          <w:szCs w:val="24"/>
        </w:rPr>
        <w:t>s</w:t>
      </w:r>
      <w:r w:rsidRPr="00675534">
        <w:rPr>
          <w:rFonts w:ascii="Times New Roman" w:hAnsi="Times New Roman" w:cs="Times New Roman"/>
          <w:i/>
          <w:iCs/>
          <w:sz w:val="24"/>
          <w:szCs w:val="24"/>
        </w:rPr>
        <w:t>tees shall have the power to appoint to either or both of my said wife PATRICIA ANN NODES and/or my co director DONALD KEITH EADE up to such number of my personal holding of sh</w:t>
      </w:r>
      <w:r w:rsidR="0082005B" w:rsidRPr="00675534">
        <w:rPr>
          <w:rFonts w:ascii="Times New Roman" w:hAnsi="Times New Roman" w:cs="Times New Roman"/>
          <w:i/>
          <w:iCs/>
          <w:sz w:val="24"/>
          <w:szCs w:val="24"/>
        </w:rPr>
        <w:t>a</w:t>
      </w:r>
      <w:r w:rsidRPr="00675534">
        <w:rPr>
          <w:rFonts w:ascii="Times New Roman" w:hAnsi="Times New Roman" w:cs="Times New Roman"/>
          <w:i/>
          <w:iCs/>
          <w:sz w:val="24"/>
          <w:szCs w:val="24"/>
        </w:rPr>
        <w:t>res as shall when added to the existing shareholding of both of th</w:t>
      </w:r>
      <w:r w:rsidR="0082005B" w:rsidRPr="00675534">
        <w:rPr>
          <w:rFonts w:ascii="Times New Roman" w:hAnsi="Times New Roman" w:cs="Times New Roman"/>
          <w:i/>
          <w:iCs/>
          <w:sz w:val="24"/>
          <w:szCs w:val="24"/>
        </w:rPr>
        <w:t>e</w:t>
      </w:r>
      <w:r w:rsidRPr="00675534">
        <w:rPr>
          <w:rFonts w:ascii="Times New Roman" w:hAnsi="Times New Roman" w:cs="Times New Roman"/>
          <w:i/>
          <w:iCs/>
          <w:sz w:val="24"/>
          <w:szCs w:val="24"/>
        </w:rPr>
        <w:t>m amount to 26% of the issued share capital as at the date of my death.”  Subject to that gift the shar</w:t>
      </w:r>
      <w:r w:rsidR="0082005B" w:rsidRPr="00675534">
        <w:rPr>
          <w:rFonts w:ascii="Times New Roman" w:hAnsi="Times New Roman" w:cs="Times New Roman"/>
          <w:i/>
          <w:iCs/>
          <w:sz w:val="24"/>
          <w:szCs w:val="24"/>
        </w:rPr>
        <w:t>e</w:t>
      </w:r>
      <w:r w:rsidRPr="00675534">
        <w:rPr>
          <w:rFonts w:ascii="Times New Roman" w:hAnsi="Times New Roman" w:cs="Times New Roman"/>
          <w:i/>
          <w:iCs/>
          <w:sz w:val="24"/>
          <w:szCs w:val="24"/>
        </w:rPr>
        <w:t>s were to be held upon tru</w:t>
      </w:r>
      <w:r w:rsidR="0082005B" w:rsidRPr="00675534">
        <w:rPr>
          <w:rFonts w:ascii="Times New Roman" w:hAnsi="Times New Roman" w:cs="Times New Roman"/>
          <w:i/>
          <w:iCs/>
          <w:sz w:val="24"/>
          <w:szCs w:val="24"/>
        </w:rPr>
        <w:t>s</w:t>
      </w:r>
      <w:r w:rsidRPr="00675534">
        <w:rPr>
          <w:rFonts w:ascii="Times New Roman" w:hAnsi="Times New Roman" w:cs="Times New Roman"/>
          <w:i/>
          <w:iCs/>
          <w:sz w:val="24"/>
          <w:szCs w:val="24"/>
        </w:rPr>
        <w:t>t to pay t</w:t>
      </w:r>
      <w:r w:rsidR="0082005B" w:rsidRPr="00675534">
        <w:rPr>
          <w:rFonts w:ascii="Times New Roman" w:hAnsi="Times New Roman" w:cs="Times New Roman"/>
          <w:i/>
          <w:iCs/>
          <w:sz w:val="24"/>
          <w:szCs w:val="24"/>
        </w:rPr>
        <w:t>h</w:t>
      </w:r>
      <w:r w:rsidRPr="00675534">
        <w:rPr>
          <w:rFonts w:ascii="Times New Roman" w:hAnsi="Times New Roman" w:cs="Times New Roman"/>
          <w:i/>
          <w:iCs/>
          <w:sz w:val="24"/>
          <w:szCs w:val="24"/>
        </w:rPr>
        <w:t xml:space="preserve">e income to Nicholas Nodes </w:t>
      </w:r>
      <w:r w:rsidR="0082005B" w:rsidRPr="00675534">
        <w:rPr>
          <w:rFonts w:ascii="Times New Roman" w:hAnsi="Times New Roman" w:cs="Times New Roman"/>
          <w:i/>
          <w:iCs/>
          <w:sz w:val="24"/>
          <w:szCs w:val="24"/>
        </w:rPr>
        <w:t xml:space="preserve">and subject thereto  to Cancer Research absolutely.  </w:t>
      </w:r>
    </w:p>
    <w:p w14:paraId="2536F0CC" w14:textId="37B9867C" w:rsidR="0082005B" w:rsidRDefault="0082005B" w:rsidP="00467D71">
      <w:p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first issue was whether on a proper construction of clause 2(b)  and in the light of extrinsic evidence claimed to be admissible under section 21 of the Administration of Justice Act 1982  the clause permits the trustees to appoint to Mrs Nodes and Mr </w:t>
      </w:r>
      <w:proofErr w:type="spellStart"/>
      <w:r>
        <w:rPr>
          <w:rFonts w:ascii="Times New Roman" w:hAnsi="Times New Roman" w:cs="Times New Roman"/>
          <w:sz w:val="24"/>
          <w:szCs w:val="24"/>
        </w:rPr>
        <w:t>Eade</w:t>
      </w:r>
      <w:proofErr w:type="spellEnd"/>
      <w:r>
        <w:rPr>
          <w:rFonts w:ascii="Times New Roman" w:hAnsi="Times New Roman" w:cs="Times New Roman"/>
          <w:sz w:val="24"/>
          <w:szCs w:val="24"/>
        </w:rPr>
        <w:t xml:space="preserve"> so many shares as will </w:t>
      </w:r>
      <w:r>
        <w:rPr>
          <w:rFonts w:ascii="Times New Roman" w:hAnsi="Times New Roman" w:cs="Times New Roman"/>
          <w:sz w:val="24"/>
          <w:szCs w:val="24"/>
        </w:rPr>
        <w:lastRenderedPageBreak/>
        <w:t>bring each of their shareholdings up to 26% of the issued share</w:t>
      </w:r>
      <w:r w:rsidR="00675534">
        <w:rPr>
          <w:rFonts w:ascii="Times New Roman" w:hAnsi="Times New Roman" w:cs="Times New Roman"/>
          <w:sz w:val="24"/>
          <w:szCs w:val="24"/>
        </w:rPr>
        <w:t xml:space="preserve"> </w:t>
      </w:r>
      <w:r>
        <w:rPr>
          <w:rFonts w:ascii="Times New Roman" w:hAnsi="Times New Roman" w:cs="Times New Roman"/>
          <w:sz w:val="24"/>
          <w:szCs w:val="24"/>
        </w:rPr>
        <w:t xml:space="preserve">capital or only so as to bring their combined shareholding up to 26%. </w:t>
      </w:r>
    </w:p>
    <w:p w14:paraId="5C6898F3" w14:textId="7AF8D969" w:rsidR="0082005B" w:rsidRDefault="0082005B" w:rsidP="00467D71">
      <w:p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The second issue was whether further o</w:t>
      </w:r>
      <w:r w:rsidR="00675534">
        <w:rPr>
          <w:rFonts w:ascii="Times New Roman" w:hAnsi="Times New Roman" w:cs="Times New Roman"/>
          <w:sz w:val="24"/>
          <w:szCs w:val="24"/>
        </w:rPr>
        <w:t>r</w:t>
      </w:r>
      <w:r>
        <w:rPr>
          <w:rFonts w:ascii="Times New Roman" w:hAnsi="Times New Roman" w:cs="Times New Roman"/>
          <w:sz w:val="24"/>
          <w:szCs w:val="24"/>
        </w:rPr>
        <w:t xml:space="preserve"> alternatively the will should be rectified to substitute the word “each” for “both”. </w:t>
      </w:r>
    </w:p>
    <w:p w14:paraId="531A7A02" w14:textId="34FA059C" w:rsidR="0082005B" w:rsidRDefault="0082005B" w:rsidP="00467D71">
      <w:p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The Deputy Master considered the factual background including the provisions of the testator’s previous wills, the relationship between Mr and Mrs Nodes, Mr Nodes health, a dispute with Mr </w:t>
      </w:r>
      <w:proofErr w:type="spellStart"/>
      <w:r>
        <w:rPr>
          <w:rFonts w:ascii="Times New Roman" w:hAnsi="Times New Roman" w:cs="Times New Roman"/>
          <w:sz w:val="24"/>
          <w:szCs w:val="24"/>
        </w:rPr>
        <w:t>Eade</w:t>
      </w:r>
      <w:proofErr w:type="spellEnd"/>
      <w:r>
        <w:rPr>
          <w:rFonts w:ascii="Times New Roman" w:hAnsi="Times New Roman" w:cs="Times New Roman"/>
          <w:sz w:val="24"/>
          <w:szCs w:val="24"/>
        </w:rPr>
        <w:t xml:space="preserve"> and the instructions for and making of the last will.  Evidence of fact was heard which is quite unusual on an issue of construction. </w:t>
      </w:r>
    </w:p>
    <w:p w14:paraId="19DD1AF2" w14:textId="0BE3B6B7" w:rsidR="00B84000" w:rsidRDefault="00D061BF" w:rsidP="00467D71">
      <w:p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There was common ground that the law in relation to construction of will is as set out in Marley and section 21 of the Adm</w:t>
      </w:r>
      <w:r w:rsidR="00675534">
        <w:rPr>
          <w:rFonts w:ascii="Times New Roman" w:hAnsi="Times New Roman" w:cs="Times New Roman"/>
          <w:sz w:val="24"/>
          <w:szCs w:val="24"/>
        </w:rPr>
        <w:t>i</w:t>
      </w:r>
      <w:r>
        <w:rPr>
          <w:rFonts w:ascii="Times New Roman" w:hAnsi="Times New Roman" w:cs="Times New Roman"/>
          <w:sz w:val="24"/>
          <w:szCs w:val="24"/>
        </w:rPr>
        <w:t xml:space="preserve">nistration of </w:t>
      </w:r>
      <w:r w:rsidR="00675534">
        <w:rPr>
          <w:rFonts w:ascii="Times New Roman" w:hAnsi="Times New Roman" w:cs="Times New Roman"/>
          <w:sz w:val="24"/>
          <w:szCs w:val="24"/>
        </w:rPr>
        <w:t xml:space="preserve"> Justice Act 1982.  There was, however</w:t>
      </w:r>
      <w:r w:rsidR="00467D71">
        <w:rPr>
          <w:rFonts w:ascii="Times New Roman" w:hAnsi="Times New Roman" w:cs="Times New Roman"/>
          <w:sz w:val="24"/>
          <w:szCs w:val="24"/>
        </w:rPr>
        <w:t>,</w:t>
      </w:r>
      <w:r w:rsidR="00675534">
        <w:rPr>
          <w:rFonts w:ascii="Times New Roman" w:hAnsi="Times New Roman" w:cs="Times New Roman"/>
          <w:sz w:val="24"/>
          <w:szCs w:val="24"/>
        </w:rPr>
        <w:t xml:space="preserve"> </w:t>
      </w:r>
      <w:r w:rsidR="00467D71">
        <w:rPr>
          <w:rFonts w:ascii="Times New Roman" w:hAnsi="Times New Roman" w:cs="Times New Roman"/>
          <w:sz w:val="24"/>
          <w:szCs w:val="24"/>
        </w:rPr>
        <w:t>a</w:t>
      </w:r>
      <w:r w:rsidR="00675534">
        <w:rPr>
          <w:rFonts w:ascii="Times New Roman" w:hAnsi="Times New Roman" w:cs="Times New Roman"/>
          <w:sz w:val="24"/>
          <w:szCs w:val="24"/>
        </w:rPr>
        <w:t xml:space="preserve"> dispute as to whether section 21 was engaged so as to allow the admission of extrinsic evidence of Mr Nodes intentions which assist in construing clause 2(b) of the Will</w:t>
      </w:r>
      <w:r w:rsidR="00B84000">
        <w:rPr>
          <w:rFonts w:ascii="Times New Roman" w:hAnsi="Times New Roman" w:cs="Times New Roman"/>
          <w:sz w:val="24"/>
          <w:szCs w:val="24"/>
        </w:rPr>
        <w:t xml:space="preserve">.  It was argued by Edward Hewitt on behalf of Cancer Research that the words were clear and not ambiguous.  He said that the decisions in  </w:t>
      </w:r>
      <w:r w:rsidR="00B84000" w:rsidRPr="00467D71">
        <w:rPr>
          <w:rFonts w:ascii="Times New Roman" w:hAnsi="Times New Roman" w:cs="Times New Roman"/>
          <w:b/>
          <w:bCs/>
          <w:sz w:val="24"/>
          <w:szCs w:val="24"/>
        </w:rPr>
        <w:t>Brooke v Purton</w:t>
      </w:r>
      <w:r w:rsidR="00B84000">
        <w:rPr>
          <w:rFonts w:ascii="Times New Roman" w:hAnsi="Times New Roman" w:cs="Times New Roman"/>
          <w:sz w:val="24"/>
          <w:szCs w:val="24"/>
        </w:rPr>
        <w:t xml:space="preserve"> [2014] EWHC 547 (Ch) and </w:t>
      </w:r>
      <w:r w:rsidR="00B84000" w:rsidRPr="00467D71">
        <w:rPr>
          <w:rFonts w:ascii="Times New Roman" w:hAnsi="Times New Roman" w:cs="Times New Roman"/>
          <w:b/>
          <w:bCs/>
          <w:sz w:val="24"/>
          <w:szCs w:val="24"/>
        </w:rPr>
        <w:t>Reading v Reading</w:t>
      </w:r>
      <w:r w:rsidR="00B84000">
        <w:rPr>
          <w:rFonts w:ascii="Times New Roman" w:hAnsi="Times New Roman" w:cs="Times New Roman"/>
          <w:sz w:val="24"/>
          <w:szCs w:val="24"/>
        </w:rPr>
        <w:t xml:space="preserve"> [2015] EWHC 946 (Ch) show that the approach in Marley results in a three stage test: First adoption of the approach at [19] of </w:t>
      </w:r>
      <w:r w:rsidR="00B84000" w:rsidRPr="00467D71">
        <w:rPr>
          <w:rFonts w:ascii="Times New Roman" w:hAnsi="Times New Roman" w:cs="Times New Roman"/>
          <w:b/>
          <w:bCs/>
          <w:sz w:val="24"/>
          <w:szCs w:val="24"/>
        </w:rPr>
        <w:t>Marley</w:t>
      </w:r>
      <w:r w:rsidR="00B84000">
        <w:rPr>
          <w:rFonts w:ascii="Times New Roman" w:hAnsi="Times New Roman" w:cs="Times New Roman"/>
          <w:sz w:val="24"/>
          <w:szCs w:val="24"/>
        </w:rPr>
        <w:t>, and dependent thereon</w:t>
      </w:r>
    </w:p>
    <w:p w14:paraId="7371C9C2" w14:textId="2E135AFC" w:rsidR="00B84000" w:rsidRDefault="00B84000" w:rsidP="00467D71">
      <w:pPr>
        <w:pStyle w:val="ListParagraph"/>
        <w:numPr>
          <w:ilvl w:val="0"/>
          <w:numId w:val="1"/>
        </w:num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Consideration whether s.21 is engaged and if it is;</w:t>
      </w:r>
    </w:p>
    <w:p w14:paraId="37963D8E" w14:textId="0042B24D" w:rsidR="00B84000" w:rsidRDefault="00B84000" w:rsidP="00467D71">
      <w:pPr>
        <w:pStyle w:val="ListParagraph"/>
        <w:numPr>
          <w:ilvl w:val="0"/>
          <w:numId w:val="1"/>
        </w:numPr>
        <w:shd w:val="clear" w:color="auto" w:fill="FFFFFF"/>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On consideration of any extrinsic evidence which is admitted by s.21 does that assist in construing the clause and does that construction differ from that at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
    <w:p w14:paraId="79C8FFA5" w14:textId="21D49F92" w:rsidR="00632D10" w:rsidRDefault="00954FDB"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Judge looked at the factual matrix including the company dynamic  and the previous will made by Mr Lodes.  The Judge did conclude that in the light of the relevant circumstances etc the words used were ambiguous.  The problem had been caused by a failure of the solicitor who took instructions for the Will to keep a contemporaneous note so as to ensure that the will reflected the true intentions. The word both could mean  </w:t>
      </w:r>
      <w:r>
        <w:rPr>
          <w:rFonts w:ascii="Times New Roman" w:hAnsi="Times New Roman" w:cs="Times New Roman"/>
          <w:sz w:val="24"/>
          <w:szCs w:val="24"/>
        </w:rPr>
        <w:lastRenderedPageBreak/>
        <w:t>between two people or each depending on the circumstances. He used the example of a father who said to his two children “you both can have a chocolate bar”.  In that case both implies two bars and the word is synonym of each.  On the other hand if he says to his adult son and daughter-in-law “I will give you both a car”  this implies one between them.   He therefore found the will ambiguous on its face and in the light of the surrounding circumstances.  A</w:t>
      </w:r>
      <w:r w:rsidR="009424F5">
        <w:rPr>
          <w:rFonts w:ascii="Times New Roman" w:hAnsi="Times New Roman" w:cs="Times New Roman"/>
          <w:sz w:val="24"/>
          <w:szCs w:val="24"/>
        </w:rPr>
        <w:t>s</w:t>
      </w:r>
      <w:r>
        <w:rPr>
          <w:rFonts w:ascii="Times New Roman" w:hAnsi="Times New Roman" w:cs="Times New Roman"/>
          <w:sz w:val="24"/>
          <w:szCs w:val="24"/>
        </w:rPr>
        <w:t xml:space="preserve"> a result clause s.21</w:t>
      </w:r>
      <w:r w:rsidR="009424F5">
        <w:rPr>
          <w:rFonts w:ascii="Times New Roman" w:hAnsi="Times New Roman" w:cs="Times New Roman"/>
          <w:sz w:val="24"/>
          <w:szCs w:val="24"/>
        </w:rPr>
        <w:t xml:space="preserve">(1)(c) is engaged and he was able to consider the direct extrinsic evidence and having considered that he came to the conclusion that the intention of Mr Nodes was that each of Mr </w:t>
      </w:r>
      <w:proofErr w:type="spellStart"/>
      <w:r w:rsidR="009424F5">
        <w:rPr>
          <w:rFonts w:ascii="Times New Roman" w:hAnsi="Times New Roman" w:cs="Times New Roman"/>
          <w:sz w:val="24"/>
          <w:szCs w:val="24"/>
        </w:rPr>
        <w:t>Eade</w:t>
      </w:r>
      <w:proofErr w:type="spellEnd"/>
      <w:r w:rsidR="009424F5">
        <w:rPr>
          <w:rFonts w:ascii="Times New Roman" w:hAnsi="Times New Roman" w:cs="Times New Roman"/>
          <w:sz w:val="24"/>
          <w:szCs w:val="24"/>
        </w:rPr>
        <w:t xml:space="preserve"> and Mrs Nodes were entitled to have shares which would bring each of their shareholdings up to 26% each.</w:t>
      </w:r>
      <w:r w:rsidR="00632D10">
        <w:rPr>
          <w:rFonts w:ascii="Times New Roman" w:hAnsi="Times New Roman" w:cs="Times New Roman"/>
          <w:sz w:val="24"/>
          <w:szCs w:val="24"/>
        </w:rPr>
        <w:t xml:space="preserve"> </w:t>
      </w:r>
    </w:p>
    <w:p w14:paraId="74FA793B" w14:textId="4809BA6E" w:rsidR="00571AB0" w:rsidRDefault="00571AB0" w:rsidP="00467D71">
      <w:pPr>
        <w:shd w:val="clear" w:color="auto" w:fill="FFFFFF"/>
        <w:spacing w:after="120" w:line="480" w:lineRule="auto"/>
        <w:ind w:left="360"/>
        <w:jc w:val="both"/>
        <w:rPr>
          <w:rFonts w:ascii="Times New Roman" w:hAnsi="Times New Roman" w:cs="Times New Roman"/>
          <w:sz w:val="24"/>
          <w:szCs w:val="24"/>
        </w:rPr>
      </w:pPr>
    </w:p>
    <w:p w14:paraId="3841DA50" w14:textId="397F8FD1" w:rsidR="00571AB0" w:rsidRPr="0085107E" w:rsidRDefault="00571AB0" w:rsidP="00467D71">
      <w:pPr>
        <w:shd w:val="clear" w:color="auto" w:fill="FFFFFF"/>
        <w:spacing w:after="120" w:line="480" w:lineRule="auto"/>
        <w:ind w:left="360"/>
        <w:jc w:val="both"/>
        <w:rPr>
          <w:rFonts w:ascii="Times New Roman" w:hAnsi="Times New Roman" w:cs="Times New Roman"/>
          <w:b/>
          <w:bCs/>
          <w:sz w:val="24"/>
          <w:szCs w:val="24"/>
        </w:rPr>
      </w:pPr>
      <w:r w:rsidRPr="004A70DF">
        <w:rPr>
          <w:rFonts w:ascii="Times New Roman" w:hAnsi="Times New Roman" w:cs="Times New Roman"/>
          <w:b/>
          <w:bCs/>
          <w:sz w:val="24"/>
          <w:szCs w:val="24"/>
          <w:u w:val="single"/>
        </w:rPr>
        <w:t xml:space="preserve">Jacqueline Da Silva v Sandra </w:t>
      </w:r>
      <w:proofErr w:type="spellStart"/>
      <w:r w:rsidRPr="004A70DF">
        <w:rPr>
          <w:rFonts w:ascii="Times New Roman" w:hAnsi="Times New Roman" w:cs="Times New Roman"/>
          <w:b/>
          <w:bCs/>
          <w:sz w:val="24"/>
          <w:szCs w:val="24"/>
          <w:u w:val="single"/>
        </w:rPr>
        <w:t>Heselton</w:t>
      </w:r>
      <w:proofErr w:type="spellEnd"/>
      <w:r w:rsidRPr="004A70DF">
        <w:rPr>
          <w:rFonts w:ascii="Times New Roman" w:hAnsi="Times New Roman" w:cs="Times New Roman"/>
          <w:b/>
          <w:bCs/>
          <w:sz w:val="24"/>
          <w:szCs w:val="24"/>
          <w:u w:val="single"/>
        </w:rPr>
        <w:t xml:space="preserve"> and others</w:t>
      </w:r>
      <w:r w:rsidRPr="0085107E">
        <w:rPr>
          <w:rFonts w:ascii="Times New Roman" w:hAnsi="Times New Roman" w:cs="Times New Roman"/>
          <w:b/>
          <w:bCs/>
          <w:sz w:val="24"/>
          <w:szCs w:val="24"/>
        </w:rPr>
        <w:t xml:space="preserve"> </w:t>
      </w:r>
      <w:r w:rsidRPr="004A70DF">
        <w:rPr>
          <w:rFonts w:ascii="Times New Roman" w:hAnsi="Times New Roman" w:cs="Times New Roman"/>
          <w:sz w:val="24"/>
          <w:szCs w:val="24"/>
        </w:rPr>
        <w:t>[2021] EWHC 3079 (Ch)</w:t>
      </w:r>
    </w:p>
    <w:p w14:paraId="6DBD1014" w14:textId="63E5CE05" w:rsidR="00571AB0" w:rsidRPr="00467D71" w:rsidRDefault="00571AB0" w:rsidP="00467D71">
      <w:pPr>
        <w:shd w:val="clear" w:color="auto" w:fill="FFFFFF"/>
        <w:spacing w:after="120" w:line="480" w:lineRule="auto"/>
        <w:ind w:left="360"/>
        <w:jc w:val="both"/>
        <w:rPr>
          <w:rFonts w:ascii="Times New Roman" w:hAnsi="Times New Roman" w:cs="Times New Roman"/>
          <w:i/>
          <w:iCs/>
          <w:sz w:val="24"/>
          <w:szCs w:val="24"/>
        </w:rPr>
      </w:pPr>
      <w:r>
        <w:rPr>
          <w:rFonts w:ascii="Times New Roman" w:hAnsi="Times New Roman" w:cs="Times New Roman"/>
          <w:sz w:val="24"/>
          <w:szCs w:val="24"/>
        </w:rPr>
        <w:t xml:space="preserve">A decision of David Rees QC sitting as a Deputy judge on appeal from a decision of Deputy Master Lloyd.  This case involved the proper construction of a charging clause which was as follows: </w:t>
      </w:r>
      <w:r w:rsidR="0085107E">
        <w:rPr>
          <w:rFonts w:ascii="Times New Roman" w:hAnsi="Times New Roman" w:cs="Times New Roman"/>
          <w:sz w:val="24"/>
          <w:szCs w:val="24"/>
        </w:rPr>
        <w:t>“</w:t>
      </w:r>
      <w:r w:rsidRPr="00467D71">
        <w:rPr>
          <w:rFonts w:ascii="Times New Roman" w:hAnsi="Times New Roman" w:cs="Times New Roman"/>
          <w:i/>
          <w:iCs/>
          <w:sz w:val="24"/>
          <w:szCs w:val="24"/>
        </w:rPr>
        <w:t>MY TRUSTEES shall have the following powers in addition to their powers under the general law or under any other provision o</w:t>
      </w:r>
      <w:r w:rsidR="0085107E" w:rsidRPr="00467D71">
        <w:rPr>
          <w:rFonts w:ascii="Times New Roman" w:hAnsi="Times New Roman" w:cs="Times New Roman"/>
          <w:i/>
          <w:iCs/>
          <w:sz w:val="24"/>
          <w:szCs w:val="24"/>
        </w:rPr>
        <w:t>f this Will</w:t>
      </w:r>
      <w:r w:rsidR="006867EE">
        <w:rPr>
          <w:rFonts w:ascii="Times New Roman" w:hAnsi="Times New Roman" w:cs="Times New Roman"/>
          <w:i/>
          <w:iCs/>
          <w:sz w:val="24"/>
          <w:szCs w:val="24"/>
        </w:rPr>
        <w:t xml:space="preserve"> </w:t>
      </w:r>
      <w:r w:rsidR="0085107E" w:rsidRPr="00467D71">
        <w:rPr>
          <w:rFonts w:ascii="Times New Roman" w:hAnsi="Times New Roman" w:cs="Times New Roman"/>
          <w:i/>
          <w:iCs/>
          <w:sz w:val="24"/>
          <w:szCs w:val="24"/>
        </w:rPr>
        <w:t>or any codicil hereto………</w:t>
      </w:r>
    </w:p>
    <w:p w14:paraId="6FC55E44" w14:textId="6944142B" w:rsidR="0085107E" w:rsidRPr="00467D71" w:rsidRDefault="0085107E" w:rsidP="00467D71">
      <w:pPr>
        <w:shd w:val="clear" w:color="auto" w:fill="FFFFFF"/>
        <w:spacing w:after="120" w:line="480" w:lineRule="auto"/>
        <w:ind w:left="360"/>
        <w:jc w:val="both"/>
        <w:rPr>
          <w:rFonts w:ascii="Times New Roman" w:hAnsi="Times New Roman" w:cs="Times New Roman"/>
          <w:i/>
          <w:iCs/>
          <w:sz w:val="24"/>
          <w:szCs w:val="24"/>
        </w:rPr>
      </w:pPr>
      <w:r w:rsidRPr="00467D71">
        <w:rPr>
          <w:rFonts w:ascii="Times New Roman" w:hAnsi="Times New Roman" w:cs="Times New Roman"/>
          <w:i/>
          <w:iCs/>
          <w:sz w:val="24"/>
          <w:szCs w:val="24"/>
        </w:rPr>
        <w:t>(g)</w:t>
      </w:r>
      <w:r w:rsidRPr="00467D71">
        <w:rPr>
          <w:rFonts w:ascii="Times New Roman" w:hAnsi="Times New Roman" w:cs="Times New Roman"/>
          <w:i/>
          <w:iCs/>
          <w:sz w:val="24"/>
          <w:szCs w:val="24"/>
        </w:rPr>
        <w:tab/>
        <w:t xml:space="preserve">for any of my Trustees who shall be engaged in any profession or business to charge and be paid (in priority to all other dispositions herein) all usual professional and other fees and </w:t>
      </w:r>
      <w:r w:rsidR="006867EE">
        <w:rPr>
          <w:rFonts w:ascii="Times New Roman" w:hAnsi="Times New Roman" w:cs="Times New Roman"/>
          <w:i/>
          <w:iCs/>
          <w:sz w:val="24"/>
          <w:szCs w:val="24"/>
        </w:rPr>
        <w:t>t</w:t>
      </w:r>
      <w:r w:rsidRPr="00467D71">
        <w:rPr>
          <w:rFonts w:ascii="Times New Roman" w:hAnsi="Times New Roman" w:cs="Times New Roman"/>
          <w:i/>
          <w:iCs/>
          <w:sz w:val="24"/>
          <w:szCs w:val="24"/>
        </w:rPr>
        <w:t xml:space="preserve">o retain any brokerage or commission for work  business introduced transacted or time spent by him or his firm in connection with the administration of my estate or the trusts powers or provisions of this Will or </w:t>
      </w:r>
      <w:r w:rsidR="006867EE">
        <w:rPr>
          <w:rFonts w:ascii="Times New Roman" w:hAnsi="Times New Roman" w:cs="Times New Roman"/>
          <w:i/>
          <w:iCs/>
          <w:sz w:val="24"/>
          <w:szCs w:val="24"/>
        </w:rPr>
        <w:t>any</w:t>
      </w:r>
      <w:r w:rsidRPr="00467D71">
        <w:rPr>
          <w:rFonts w:ascii="Times New Roman" w:hAnsi="Times New Roman" w:cs="Times New Roman"/>
          <w:i/>
          <w:iCs/>
          <w:sz w:val="24"/>
          <w:szCs w:val="24"/>
        </w:rPr>
        <w:t xml:space="preserve"> codicil hereto including work or business outside the ordinary course of his profession and work or business which he could or should have done personally had he not been in any profession or business.”</w:t>
      </w:r>
    </w:p>
    <w:p w14:paraId="09C72189" w14:textId="77777777" w:rsidR="0085107E" w:rsidRDefault="0085107E"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Heselton</w:t>
      </w:r>
      <w:proofErr w:type="spellEnd"/>
      <w:r>
        <w:rPr>
          <w:rFonts w:ascii="Times New Roman" w:hAnsi="Times New Roman" w:cs="Times New Roman"/>
          <w:sz w:val="24"/>
          <w:szCs w:val="24"/>
        </w:rPr>
        <w:t xml:space="preserve"> was an executor and trustee of the trusts set out in the Will and was involved in a business which was unrelated to the administration of trusts or estates.  The question </w:t>
      </w:r>
      <w:r>
        <w:rPr>
          <w:rFonts w:ascii="Times New Roman" w:hAnsi="Times New Roman" w:cs="Times New Roman"/>
          <w:sz w:val="24"/>
          <w:szCs w:val="24"/>
        </w:rPr>
        <w:lastRenderedPageBreak/>
        <w:t xml:space="preserve">which arose was whether  she could rely upon the charging clause to charge for time  spent on the administration of the estate. </w:t>
      </w:r>
    </w:p>
    <w:p w14:paraId="05C19329" w14:textId="77777777" w:rsidR="00ED037C" w:rsidRDefault="0085107E"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It was common ground that the normal rule is that a trustee must act gratuitously and so the ability to charge</w:t>
      </w:r>
      <w:r w:rsidR="00ED037C">
        <w:rPr>
          <w:rFonts w:ascii="Times New Roman" w:hAnsi="Times New Roman" w:cs="Times New Roman"/>
          <w:sz w:val="24"/>
          <w:szCs w:val="24"/>
        </w:rPr>
        <w:t xml:space="preserve">, at least at the time of the events in question, was an exceptional right and a charging clause will be construed strictly. </w:t>
      </w:r>
    </w:p>
    <w:p w14:paraId="3BE0AB5F" w14:textId="4389D510" w:rsidR="0085107E" w:rsidRDefault="00ED037C"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Deputy Master Lloyd stated, inter alia, </w:t>
      </w:r>
      <w:r w:rsidRPr="00467D71">
        <w:rPr>
          <w:rFonts w:ascii="Times New Roman" w:hAnsi="Times New Roman" w:cs="Times New Roman"/>
          <w:i/>
          <w:iCs/>
          <w:sz w:val="24"/>
          <w:szCs w:val="24"/>
        </w:rPr>
        <w:t>“I accept entirely that the charging claus</w:t>
      </w:r>
      <w:bookmarkStart w:id="0" w:name="_GoBack"/>
      <w:bookmarkEnd w:id="0"/>
      <w:r w:rsidRPr="00467D71">
        <w:rPr>
          <w:rFonts w:ascii="Times New Roman" w:hAnsi="Times New Roman" w:cs="Times New Roman"/>
          <w:i/>
          <w:iCs/>
          <w:sz w:val="24"/>
          <w:szCs w:val="24"/>
        </w:rPr>
        <w:t>e is not restricted to a Trustee who is pursuing a profession such as a solicitor or accountant but extends to a person engaged in business. But it does seem to me that</w:t>
      </w:r>
      <w:r w:rsidR="00142D7A" w:rsidRPr="00467D71">
        <w:rPr>
          <w:rFonts w:ascii="Times New Roman" w:hAnsi="Times New Roman" w:cs="Times New Roman"/>
          <w:i/>
          <w:iCs/>
          <w:sz w:val="24"/>
          <w:szCs w:val="24"/>
        </w:rPr>
        <w:t xml:space="preserve"> </w:t>
      </w:r>
      <w:r w:rsidRPr="00467D71">
        <w:rPr>
          <w:rFonts w:ascii="Times New Roman" w:hAnsi="Times New Roman" w:cs="Times New Roman"/>
          <w:i/>
          <w:iCs/>
          <w:sz w:val="24"/>
          <w:szCs w:val="24"/>
        </w:rPr>
        <w:t xml:space="preserve">the business has to have some relevance to the matter of administering </w:t>
      </w:r>
      <w:r w:rsidR="0085107E" w:rsidRPr="00467D71">
        <w:rPr>
          <w:rFonts w:ascii="Times New Roman" w:hAnsi="Times New Roman" w:cs="Times New Roman"/>
          <w:i/>
          <w:iCs/>
          <w:sz w:val="24"/>
          <w:szCs w:val="24"/>
        </w:rPr>
        <w:t xml:space="preserve"> </w:t>
      </w:r>
      <w:r w:rsidRPr="00467D71">
        <w:rPr>
          <w:rFonts w:ascii="Times New Roman" w:hAnsi="Times New Roman" w:cs="Times New Roman"/>
          <w:i/>
          <w:iCs/>
          <w:sz w:val="24"/>
          <w:szCs w:val="24"/>
        </w:rPr>
        <w:t>estates and, more to the point</w:t>
      </w:r>
      <w:r w:rsidR="00142D7A" w:rsidRPr="00467D71">
        <w:rPr>
          <w:rFonts w:ascii="Times New Roman" w:hAnsi="Times New Roman" w:cs="Times New Roman"/>
          <w:i/>
          <w:iCs/>
          <w:sz w:val="24"/>
          <w:szCs w:val="24"/>
        </w:rPr>
        <w:t>, that the administration time spent, for which it is sought to charge</w:t>
      </w:r>
      <w:r w:rsidRPr="00467D71">
        <w:rPr>
          <w:rFonts w:ascii="Times New Roman" w:hAnsi="Times New Roman" w:cs="Times New Roman"/>
          <w:i/>
          <w:iCs/>
          <w:sz w:val="24"/>
          <w:szCs w:val="24"/>
        </w:rPr>
        <w:t xml:space="preserve"> </w:t>
      </w:r>
      <w:r w:rsidR="00142D7A" w:rsidRPr="00467D71">
        <w:rPr>
          <w:rFonts w:ascii="Times New Roman" w:hAnsi="Times New Roman" w:cs="Times New Roman"/>
          <w:i/>
          <w:iCs/>
          <w:sz w:val="24"/>
          <w:szCs w:val="24"/>
        </w:rPr>
        <w:t>should have been part and parcel of that business. It is trite law that a charging clause will be construed strictly.”</w:t>
      </w:r>
    </w:p>
    <w:p w14:paraId="19BF98F0" w14:textId="39E53DCF" w:rsidR="00142D7A" w:rsidRDefault="00142D7A"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Deputy Master found that he was not satisfied that </w:t>
      </w:r>
      <w:r w:rsidR="00467D71">
        <w:rPr>
          <w:rFonts w:ascii="Times New Roman" w:hAnsi="Times New Roman" w:cs="Times New Roman"/>
          <w:sz w:val="24"/>
          <w:szCs w:val="24"/>
        </w:rPr>
        <w:t>t</w:t>
      </w:r>
      <w:r>
        <w:rPr>
          <w:rFonts w:ascii="Times New Roman" w:hAnsi="Times New Roman" w:cs="Times New Roman"/>
          <w:sz w:val="24"/>
          <w:szCs w:val="24"/>
        </w:rPr>
        <w:t xml:space="preserve">he activities in administering the Deceased’s estate were done in the course of Mrs </w:t>
      </w:r>
      <w:proofErr w:type="spellStart"/>
      <w:r>
        <w:rPr>
          <w:rFonts w:ascii="Times New Roman" w:hAnsi="Times New Roman" w:cs="Times New Roman"/>
          <w:sz w:val="24"/>
          <w:szCs w:val="24"/>
        </w:rPr>
        <w:t>Heselton’s</w:t>
      </w:r>
      <w:proofErr w:type="spellEnd"/>
      <w:r>
        <w:rPr>
          <w:rFonts w:ascii="Times New Roman" w:hAnsi="Times New Roman" w:cs="Times New Roman"/>
          <w:sz w:val="24"/>
          <w:szCs w:val="24"/>
        </w:rPr>
        <w:t xml:space="preserve"> business and so made the declaration sought by Mr Brunton (the replacement administrator and trustee) that Mrs </w:t>
      </w:r>
      <w:proofErr w:type="spellStart"/>
      <w:r>
        <w:rPr>
          <w:rFonts w:ascii="Times New Roman" w:hAnsi="Times New Roman" w:cs="Times New Roman"/>
          <w:sz w:val="24"/>
          <w:szCs w:val="24"/>
        </w:rPr>
        <w:t>Heselton</w:t>
      </w:r>
      <w:proofErr w:type="spellEnd"/>
      <w:r>
        <w:rPr>
          <w:rFonts w:ascii="Times New Roman" w:hAnsi="Times New Roman" w:cs="Times New Roman"/>
          <w:sz w:val="24"/>
          <w:szCs w:val="24"/>
        </w:rPr>
        <w:t xml:space="preserve"> was not entitled to charge for her time.  </w:t>
      </w:r>
    </w:p>
    <w:p w14:paraId="3E0B0479" w14:textId="166538FC" w:rsidR="00142D7A" w:rsidRDefault="00142D7A"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Heselton</w:t>
      </w:r>
      <w:proofErr w:type="spellEnd"/>
      <w:r>
        <w:rPr>
          <w:rFonts w:ascii="Times New Roman" w:hAnsi="Times New Roman" w:cs="Times New Roman"/>
          <w:sz w:val="24"/>
          <w:szCs w:val="24"/>
        </w:rPr>
        <w:t xml:space="preserve"> appealed.   </w:t>
      </w:r>
      <w:r w:rsidR="00235FC8">
        <w:rPr>
          <w:rFonts w:ascii="Times New Roman" w:hAnsi="Times New Roman" w:cs="Times New Roman"/>
          <w:sz w:val="24"/>
          <w:szCs w:val="24"/>
        </w:rPr>
        <w:t xml:space="preserve">Mr O’Sullivan, </w:t>
      </w:r>
      <w:r>
        <w:rPr>
          <w:rFonts w:ascii="Times New Roman" w:hAnsi="Times New Roman" w:cs="Times New Roman"/>
          <w:sz w:val="24"/>
          <w:szCs w:val="24"/>
        </w:rPr>
        <w:t xml:space="preserve">Counsel for Mrs </w:t>
      </w:r>
      <w:proofErr w:type="spellStart"/>
      <w:r>
        <w:rPr>
          <w:rFonts w:ascii="Times New Roman" w:hAnsi="Times New Roman" w:cs="Times New Roman"/>
          <w:sz w:val="24"/>
          <w:szCs w:val="24"/>
        </w:rPr>
        <w:t>Heselton</w:t>
      </w:r>
      <w:proofErr w:type="spellEnd"/>
      <w:r>
        <w:rPr>
          <w:rFonts w:ascii="Times New Roman" w:hAnsi="Times New Roman" w:cs="Times New Roman"/>
          <w:sz w:val="24"/>
          <w:szCs w:val="24"/>
        </w:rPr>
        <w:t xml:space="preserve">  relied on a quotation from Lewin on Trusts (20</w:t>
      </w:r>
      <w:r w:rsidRPr="00142D7A">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para 20-016 which says: </w:t>
      </w:r>
      <w:r w:rsidRPr="00467D71">
        <w:rPr>
          <w:rFonts w:ascii="Times New Roman" w:hAnsi="Times New Roman" w:cs="Times New Roman"/>
          <w:i/>
          <w:iCs/>
          <w:sz w:val="24"/>
          <w:szCs w:val="24"/>
        </w:rPr>
        <w:t>“ A professional  trustee</w:t>
      </w:r>
      <w:r w:rsidR="00235FC8" w:rsidRPr="00467D71">
        <w:rPr>
          <w:rFonts w:ascii="Times New Roman" w:hAnsi="Times New Roman" w:cs="Times New Roman"/>
          <w:i/>
          <w:iCs/>
          <w:sz w:val="24"/>
          <w:szCs w:val="24"/>
        </w:rPr>
        <w:t>s charging clause in the usual form is not confined to solicitors.  Under such a clause Trustees engaged in any profession or business are entitled to remuneration for their services, even though the profession or business does not pertain to trust administration at all.”</w:t>
      </w:r>
      <w:r w:rsidR="00235FC8">
        <w:rPr>
          <w:rFonts w:ascii="Times New Roman" w:hAnsi="Times New Roman" w:cs="Times New Roman"/>
          <w:sz w:val="24"/>
          <w:szCs w:val="24"/>
        </w:rPr>
        <w:t xml:space="preserve">   Mr O’Sullivan relied on that passage as authority for the general proposition that an executor engaged in a profession or business unconnected with estate administration can char</w:t>
      </w:r>
      <w:r w:rsidR="00467D71">
        <w:rPr>
          <w:rFonts w:ascii="Times New Roman" w:hAnsi="Times New Roman" w:cs="Times New Roman"/>
          <w:sz w:val="24"/>
          <w:szCs w:val="24"/>
        </w:rPr>
        <w:t>g</w:t>
      </w:r>
      <w:r w:rsidR="00235FC8">
        <w:rPr>
          <w:rFonts w:ascii="Times New Roman" w:hAnsi="Times New Roman" w:cs="Times New Roman"/>
          <w:sz w:val="24"/>
          <w:szCs w:val="24"/>
        </w:rPr>
        <w:t>e fo</w:t>
      </w:r>
      <w:r w:rsidR="00467D71">
        <w:rPr>
          <w:rFonts w:ascii="Times New Roman" w:hAnsi="Times New Roman" w:cs="Times New Roman"/>
          <w:sz w:val="24"/>
          <w:szCs w:val="24"/>
        </w:rPr>
        <w:t>r</w:t>
      </w:r>
      <w:r w:rsidR="00235FC8">
        <w:rPr>
          <w:rFonts w:ascii="Times New Roman" w:hAnsi="Times New Roman" w:cs="Times New Roman"/>
          <w:sz w:val="24"/>
          <w:szCs w:val="24"/>
        </w:rPr>
        <w:t xml:space="preserve"> their time spent on that task. </w:t>
      </w:r>
    </w:p>
    <w:p w14:paraId="1B5ABA42" w14:textId="70E6A269" w:rsidR="00126F98" w:rsidRPr="00C720BA" w:rsidRDefault="00235FC8" w:rsidP="00467D71">
      <w:pPr>
        <w:shd w:val="clear" w:color="auto" w:fill="FFFFFF"/>
        <w:spacing w:after="120" w:line="480" w:lineRule="auto"/>
        <w:ind w:left="360"/>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David Rees QC disagreed. He agreed that the principles of interpretation in relation to Wills were as set out in </w:t>
      </w:r>
      <w:r w:rsidRPr="00467D71">
        <w:rPr>
          <w:rFonts w:ascii="Times New Roman" w:hAnsi="Times New Roman" w:cs="Times New Roman"/>
          <w:b/>
          <w:bCs/>
          <w:sz w:val="24"/>
          <w:szCs w:val="24"/>
        </w:rPr>
        <w:t>Marley v Rawlings</w:t>
      </w:r>
      <w:r>
        <w:rPr>
          <w:rFonts w:ascii="Times New Roman" w:hAnsi="Times New Roman" w:cs="Times New Roman"/>
          <w:sz w:val="24"/>
          <w:szCs w:val="24"/>
        </w:rPr>
        <w:t xml:space="preserve">. He stated that as charging clauses should be restrictively construed anything not falling clearly within it should be treated as falling outside it.   He went on to say that where a person seeking to rely on the charging clause was not responsible for its terms the was no reason why they should not be entitled to have it fairly construed according to the natural meaning of the words used.  He then went on to look at the specific words used in the Will. The clause applied to a person engaged in a profession or business and he accepted that they were potentially capable of applying to a person engaged in any profession or business, even if the scope of that profession or business </w:t>
      </w:r>
      <w:r w:rsidR="00126F98">
        <w:rPr>
          <w:rFonts w:ascii="Times New Roman" w:hAnsi="Times New Roman" w:cs="Times New Roman"/>
          <w:sz w:val="24"/>
          <w:szCs w:val="24"/>
        </w:rPr>
        <w:t xml:space="preserve">has no connection with the administration of estates. </w:t>
      </w:r>
      <w:r>
        <w:rPr>
          <w:rFonts w:ascii="Times New Roman" w:hAnsi="Times New Roman" w:cs="Times New Roman"/>
          <w:sz w:val="24"/>
          <w:szCs w:val="24"/>
        </w:rPr>
        <w:t xml:space="preserve">   </w:t>
      </w:r>
      <w:r w:rsidR="00126F98">
        <w:rPr>
          <w:rFonts w:ascii="Times New Roman" w:hAnsi="Times New Roman" w:cs="Times New Roman"/>
          <w:sz w:val="24"/>
          <w:szCs w:val="24"/>
        </w:rPr>
        <w:t xml:space="preserve">He </w:t>
      </w:r>
      <w:r w:rsidR="00467D71">
        <w:rPr>
          <w:rFonts w:ascii="Times New Roman" w:hAnsi="Times New Roman" w:cs="Times New Roman"/>
          <w:sz w:val="24"/>
          <w:szCs w:val="24"/>
        </w:rPr>
        <w:t>stated</w:t>
      </w:r>
      <w:r w:rsidR="00126F98">
        <w:rPr>
          <w:rFonts w:ascii="Times New Roman" w:hAnsi="Times New Roman" w:cs="Times New Roman"/>
          <w:sz w:val="24"/>
          <w:szCs w:val="24"/>
        </w:rPr>
        <w:t xml:space="preserve">: </w:t>
      </w:r>
      <w:r w:rsidR="00126F98" w:rsidRPr="00C720BA">
        <w:rPr>
          <w:rFonts w:ascii="Times New Roman" w:hAnsi="Times New Roman" w:cs="Times New Roman"/>
          <w:i/>
          <w:iCs/>
          <w:sz w:val="24"/>
          <w:szCs w:val="24"/>
        </w:rPr>
        <w:t>“However, the ability of a person engaged in such a profession or business to charge under this clause is not unconstrained.  They may only charge “all usual professional and other fees”.  And those usual fees must be for work or business….. done or time spent by him in connection with the administration of the estate.”</w:t>
      </w:r>
    </w:p>
    <w:p w14:paraId="2009F8FE" w14:textId="5AF18D34" w:rsidR="00235FC8" w:rsidRDefault="00126F98"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David Rees QC considered that it was the inclusion of the words </w:t>
      </w:r>
      <w:r w:rsidRPr="00C720BA">
        <w:rPr>
          <w:rFonts w:ascii="Times New Roman" w:hAnsi="Times New Roman" w:cs="Times New Roman"/>
          <w:i/>
          <w:iCs/>
          <w:sz w:val="24"/>
          <w:szCs w:val="24"/>
        </w:rPr>
        <w:t>“usual professional and other fees”</w:t>
      </w:r>
      <w:r>
        <w:rPr>
          <w:rFonts w:ascii="Times New Roman" w:hAnsi="Times New Roman" w:cs="Times New Roman"/>
          <w:sz w:val="24"/>
          <w:szCs w:val="24"/>
        </w:rPr>
        <w:t xml:space="preserve"> which was key to the meaning of the clause.  He considered that those words governed not only the amount of fee which could be charge but also the nature of the work for which a fee could be charged.   He went on to say that the natural meaning of the words used in the Will require one to look at the work or business done, and consider whether in the profession or business of the trustee in question a “usual professional or other fee” would be chargeable.  As a result </w:t>
      </w:r>
      <w:r w:rsidRPr="00C720BA">
        <w:rPr>
          <w:rFonts w:ascii="Times New Roman" w:hAnsi="Times New Roman" w:cs="Times New Roman"/>
          <w:i/>
          <w:iCs/>
          <w:sz w:val="24"/>
          <w:szCs w:val="24"/>
        </w:rPr>
        <w:t>“a trustee whose profession or business does not involve the management or administration of a trust or estate may charge for work carried out in relation to a trust or estate, but only if a charge for the particular work or business done would arise in the usual scope of their profession or business.”</w:t>
      </w:r>
      <w:r>
        <w:rPr>
          <w:rFonts w:ascii="Times New Roman" w:hAnsi="Times New Roman" w:cs="Times New Roman"/>
          <w:sz w:val="24"/>
          <w:szCs w:val="24"/>
        </w:rPr>
        <w:t xml:space="preserve">  This is in contra distinction </w:t>
      </w:r>
      <w:r>
        <w:rPr>
          <w:rFonts w:ascii="Times New Roman" w:hAnsi="Times New Roman" w:cs="Times New Roman"/>
          <w:sz w:val="24"/>
          <w:szCs w:val="24"/>
        </w:rPr>
        <w:lastRenderedPageBreak/>
        <w:t xml:space="preserve">to a trustee such as a solicitor, whose profession or business does involve the administration of trusts or estates who </w:t>
      </w:r>
      <w:r w:rsidR="00C720BA">
        <w:rPr>
          <w:rFonts w:ascii="Times New Roman" w:hAnsi="Times New Roman" w:cs="Times New Roman"/>
          <w:sz w:val="24"/>
          <w:szCs w:val="24"/>
        </w:rPr>
        <w:t>c</w:t>
      </w:r>
      <w:r>
        <w:rPr>
          <w:rFonts w:ascii="Times New Roman" w:hAnsi="Times New Roman" w:cs="Times New Roman"/>
          <w:sz w:val="24"/>
          <w:szCs w:val="24"/>
        </w:rPr>
        <w:t>an cha</w:t>
      </w:r>
      <w:r w:rsidR="00D672D9">
        <w:rPr>
          <w:rFonts w:ascii="Times New Roman" w:hAnsi="Times New Roman" w:cs="Times New Roman"/>
          <w:sz w:val="24"/>
          <w:szCs w:val="24"/>
        </w:rPr>
        <w:t>rg</w:t>
      </w:r>
      <w:r>
        <w:rPr>
          <w:rFonts w:ascii="Times New Roman" w:hAnsi="Times New Roman" w:cs="Times New Roman"/>
          <w:sz w:val="24"/>
          <w:szCs w:val="24"/>
        </w:rPr>
        <w:t xml:space="preserve">e for all work done in relation to the trust or estate. </w:t>
      </w:r>
    </w:p>
    <w:p w14:paraId="4D8BA9B9" w14:textId="022E1CC9" w:rsidR="00D672D9" w:rsidRDefault="00D672D9"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David Rees QC relied on the decision of Buckley J in </w:t>
      </w:r>
      <w:r w:rsidRPr="00C720BA">
        <w:rPr>
          <w:rFonts w:ascii="Times New Roman" w:hAnsi="Times New Roman" w:cs="Times New Roman"/>
          <w:b/>
          <w:bCs/>
          <w:sz w:val="24"/>
          <w:szCs w:val="24"/>
        </w:rPr>
        <w:t>Clarkson v Robinson</w:t>
      </w:r>
      <w:r>
        <w:rPr>
          <w:rFonts w:ascii="Times New Roman" w:hAnsi="Times New Roman" w:cs="Times New Roman"/>
          <w:sz w:val="24"/>
          <w:szCs w:val="24"/>
        </w:rPr>
        <w:t xml:space="preserve"> 1900 Ch 722.  In that case Buckley J said the trustee must show that the work was caried out in the course of their profession or business albeit not necessarily in the ordinary course of that business. </w:t>
      </w:r>
    </w:p>
    <w:p w14:paraId="3E1300D2" w14:textId="14AF9699" w:rsidR="00D672D9" w:rsidRDefault="00D672D9"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If this was not the case a trustee could set up a shell business in order to be able to charge for time caried out in the trust administration.  Alternatively for example if the principle were not as David Rees set out a hairdresser running his or her business would be entitled to charge for work done in relation to the trust administration even though the work </w:t>
      </w:r>
      <w:proofErr w:type="spellStart"/>
      <w:r>
        <w:rPr>
          <w:rFonts w:ascii="Times New Roman" w:hAnsi="Times New Roman" w:cs="Times New Roman"/>
          <w:sz w:val="24"/>
          <w:szCs w:val="24"/>
        </w:rPr>
        <w:t>ad</w:t>
      </w:r>
      <w:proofErr w:type="spellEnd"/>
      <w:r>
        <w:rPr>
          <w:rFonts w:ascii="Times New Roman" w:hAnsi="Times New Roman" w:cs="Times New Roman"/>
          <w:sz w:val="24"/>
          <w:szCs w:val="24"/>
        </w:rPr>
        <w:t xml:space="preserve"> absolutely no connection with his business and for which he would not be able to charge in the context of that business.  </w:t>
      </w:r>
    </w:p>
    <w:p w14:paraId="2F312401" w14:textId="0B3F0B97" w:rsidR="00D672D9" w:rsidRDefault="00D672D9" w:rsidP="00467D71">
      <w:pPr>
        <w:shd w:val="clear" w:color="auto" w:fill="FFFFFF"/>
        <w:spacing w:after="120" w:line="480" w:lineRule="auto"/>
        <w:ind w:left="360"/>
        <w:jc w:val="both"/>
        <w:rPr>
          <w:rFonts w:ascii="Times New Roman" w:hAnsi="Times New Roman" w:cs="Times New Roman"/>
          <w:sz w:val="24"/>
          <w:szCs w:val="24"/>
        </w:rPr>
      </w:pPr>
    </w:p>
    <w:p w14:paraId="0CAC4F70" w14:textId="6EF5D852" w:rsidR="00D672D9" w:rsidRPr="004A70DF" w:rsidRDefault="00D672D9" w:rsidP="00467D71">
      <w:pPr>
        <w:shd w:val="clear" w:color="auto" w:fill="FFFFFF"/>
        <w:spacing w:after="120" w:line="480" w:lineRule="auto"/>
        <w:ind w:left="360"/>
        <w:jc w:val="both"/>
        <w:rPr>
          <w:rFonts w:ascii="Times New Roman" w:hAnsi="Times New Roman" w:cs="Times New Roman"/>
          <w:sz w:val="24"/>
          <w:szCs w:val="24"/>
        </w:rPr>
      </w:pPr>
      <w:proofErr w:type="spellStart"/>
      <w:r w:rsidRPr="004A70DF">
        <w:rPr>
          <w:rFonts w:ascii="Times New Roman" w:hAnsi="Times New Roman" w:cs="Times New Roman"/>
          <w:b/>
          <w:bCs/>
          <w:sz w:val="24"/>
          <w:szCs w:val="24"/>
          <w:u w:val="single"/>
        </w:rPr>
        <w:t>Equiom</w:t>
      </w:r>
      <w:proofErr w:type="spellEnd"/>
      <w:r w:rsidRPr="004A70DF">
        <w:rPr>
          <w:rFonts w:ascii="Times New Roman" w:hAnsi="Times New Roman" w:cs="Times New Roman"/>
          <w:b/>
          <w:bCs/>
          <w:sz w:val="24"/>
          <w:szCs w:val="24"/>
          <w:u w:val="single"/>
        </w:rPr>
        <w:t xml:space="preserve"> (Isle of Man) Limited and others  v Velarde and others</w:t>
      </w:r>
      <w:r w:rsidRPr="00C720BA">
        <w:rPr>
          <w:rFonts w:ascii="Times New Roman" w:hAnsi="Times New Roman" w:cs="Times New Roman"/>
          <w:b/>
          <w:bCs/>
          <w:sz w:val="24"/>
          <w:szCs w:val="24"/>
        </w:rPr>
        <w:t xml:space="preserve">  </w:t>
      </w:r>
      <w:r w:rsidRPr="004A70DF">
        <w:rPr>
          <w:rFonts w:ascii="Times New Roman" w:hAnsi="Times New Roman" w:cs="Times New Roman"/>
          <w:sz w:val="24"/>
          <w:szCs w:val="24"/>
        </w:rPr>
        <w:t>[2022] EWHC 11 (Ch)</w:t>
      </w:r>
    </w:p>
    <w:p w14:paraId="6878C19D" w14:textId="5396E1E4" w:rsidR="00D672D9" w:rsidRDefault="00D672D9"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This is a decision of Mr Ashley Greenbank sitting as a Judge of the High Court on app</w:t>
      </w:r>
      <w:r w:rsidR="000F065C">
        <w:rPr>
          <w:rFonts w:ascii="Times New Roman" w:hAnsi="Times New Roman" w:cs="Times New Roman"/>
          <w:sz w:val="24"/>
          <w:szCs w:val="24"/>
        </w:rPr>
        <w:t>eal</w:t>
      </w:r>
      <w:r>
        <w:rPr>
          <w:rFonts w:ascii="Times New Roman" w:hAnsi="Times New Roman" w:cs="Times New Roman"/>
          <w:sz w:val="24"/>
          <w:szCs w:val="24"/>
        </w:rPr>
        <w:t xml:space="preserve"> from the decision of  Deputy Master Dray</w:t>
      </w:r>
      <w:r w:rsidR="000F065C">
        <w:rPr>
          <w:rFonts w:ascii="Times New Roman" w:hAnsi="Times New Roman" w:cs="Times New Roman"/>
          <w:sz w:val="24"/>
          <w:szCs w:val="24"/>
        </w:rPr>
        <w:t xml:space="preserve">.  The Deputy Master held that a provision of the Will of Mrs Patricia </w:t>
      </w:r>
      <w:proofErr w:type="spellStart"/>
      <w:r w:rsidR="000F065C">
        <w:rPr>
          <w:rFonts w:ascii="Times New Roman" w:hAnsi="Times New Roman" w:cs="Times New Roman"/>
          <w:sz w:val="24"/>
          <w:szCs w:val="24"/>
        </w:rPr>
        <w:t>Moor</w:t>
      </w:r>
      <w:r w:rsidR="00564908">
        <w:rPr>
          <w:rFonts w:ascii="Times New Roman" w:hAnsi="Times New Roman" w:cs="Times New Roman"/>
          <w:sz w:val="24"/>
          <w:szCs w:val="24"/>
        </w:rPr>
        <w:t>e</w:t>
      </w:r>
      <w:r w:rsidR="000F065C">
        <w:rPr>
          <w:rFonts w:ascii="Times New Roman" w:hAnsi="Times New Roman" w:cs="Times New Roman"/>
          <w:sz w:val="24"/>
          <w:szCs w:val="24"/>
        </w:rPr>
        <w:t>s</w:t>
      </w:r>
      <w:proofErr w:type="spellEnd"/>
      <w:r w:rsidR="000F065C">
        <w:rPr>
          <w:rFonts w:ascii="Times New Roman" w:hAnsi="Times New Roman" w:cs="Times New Roman"/>
          <w:sz w:val="24"/>
          <w:szCs w:val="24"/>
        </w:rPr>
        <w:t xml:space="preserve"> had the effect of revoking a previous exercise of a power of appointment by Mrs </w:t>
      </w:r>
      <w:proofErr w:type="spellStart"/>
      <w:r w:rsidR="000F065C">
        <w:rPr>
          <w:rFonts w:ascii="Times New Roman" w:hAnsi="Times New Roman" w:cs="Times New Roman"/>
          <w:sz w:val="24"/>
          <w:szCs w:val="24"/>
        </w:rPr>
        <w:t>Moores</w:t>
      </w:r>
      <w:proofErr w:type="spellEnd"/>
      <w:r w:rsidR="000F065C">
        <w:rPr>
          <w:rFonts w:ascii="Times New Roman" w:hAnsi="Times New Roman" w:cs="Times New Roman"/>
          <w:sz w:val="24"/>
          <w:szCs w:val="24"/>
        </w:rPr>
        <w:t xml:space="preserve"> in relation to property under a settlement created by her father</w:t>
      </w:r>
      <w:r w:rsidR="000F065C" w:rsidRPr="000F065C">
        <w:rPr>
          <w:rFonts w:ascii="Times New Roman" w:hAnsi="Times New Roman" w:cs="Times New Roman"/>
          <w:sz w:val="24"/>
          <w:szCs w:val="24"/>
        </w:rPr>
        <w:t xml:space="preserve"> </w:t>
      </w:r>
      <w:r w:rsidR="000F065C">
        <w:rPr>
          <w:rFonts w:ascii="Times New Roman" w:hAnsi="Times New Roman" w:cs="Times New Roman"/>
          <w:sz w:val="24"/>
          <w:szCs w:val="24"/>
        </w:rPr>
        <w:t xml:space="preserve">Cecil </w:t>
      </w:r>
      <w:proofErr w:type="spellStart"/>
      <w:r w:rsidR="000F065C">
        <w:rPr>
          <w:rFonts w:ascii="Times New Roman" w:hAnsi="Times New Roman" w:cs="Times New Roman"/>
          <w:sz w:val="24"/>
          <w:szCs w:val="24"/>
        </w:rPr>
        <w:t>Moores</w:t>
      </w:r>
      <w:proofErr w:type="spellEnd"/>
      <w:r w:rsidR="000F065C">
        <w:rPr>
          <w:rFonts w:ascii="Times New Roman" w:hAnsi="Times New Roman" w:cs="Times New Roman"/>
          <w:sz w:val="24"/>
          <w:szCs w:val="24"/>
        </w:rPr>
        <w:t>, in 1949.</w:t>
      </w:r>
    </w:p>
    <w:p w14:paraId="2C1E61E6" w14:textId="00AE9BCA" w:rsidR="000F065C" w:rsidRDefault="000F065C"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Moores</w:t>
      </w:r>
      <w:proofErr w:type="spellEnd"/>
      <w:r>
        <w:rPr>
          <w:rFonts w:ascii="Times New Roman" w:hAnsi="Times New Roman" w:cs="Times New Roman"/>
          <w:sz w:val="24"/>
          <w:szCs w:val="24"/>
        </w:rPr>
        <w:t xml:space="preserve"> executed several revocable appointments of assets contained in the 1949 settlement in favour of her three children or a combination of them. In 1997 Mrs </w:t>
      </w:r>
      <w:proofErr w:type="spellStart"/>
      <w:r>
        <w:rPr>
          <w:rFonts w:ascii="Times New Roman" w:hAnsi="Times New Roman" w:cs="Times New Roman"/>
          <w:sz w:val="24"/>
          <w:szCs w:val="24"/>
        </w:rPr>
        <w:t>Moores</w:t>
      </w:r>
      <w:proofErr w:type="spellEnd"/>
      <w:r>
        <w:rPr>
          <w:rFonts w:ascii="Times New Roman" w:hAnsi="Times New Roman" w:cs="Times New Roman"/>
          <w:sz w:val="24"/>
          <w:szCs w:val="24"/>
        </w:rPr>
        <w:t xml:space="preserve"> revoked an appointment made in a deed of appointment in 1981 and instead appointed what was referred to as the Patricia Trust fund from and after her death on trust for two of her children, Christian and Rebec</w:t>
      </w:r>
      <w:r w:rsidR="00C720BA">
        <w:rPr>
          <w:rFonts w:ascii="Times New Roman" w:hAnsi="Times New Roman" w:cs="Times New Roman"/>
          <w:sz w:val="24"/>
          <w:szCs w:val="24"/>
        </w:rPr>
        <w:t>c</w:t>
      </w:r>
      <w:r>
        <w:rPr>
          <w:rFonts w:ascii="Times New Roman" w:hAnsi="Times New Roman" w:cs="Times New Roman"/>
          <w:sz w:val="24"/>
          <w:szCs w:val="24"/>
        </w:rPr>
        <w:t xml:space="preserve">a and excluding the third child, Matthew.  At the time of the </w:t>
      </w:r>
      <w:r>
        <w:rPr>
          <w:rFonts w:ascii="Times New Roman" w:hAnsi="Times New Roman" w:cs="Times New Roman"/>
          <w:sz w:val="24"/>
          <w:szCs w:val="24"/>
        </w:rPr>
        <w:lastRenderedPageBreak/>
        <w:t>1997 Deed of Appointment Matthew was going through a divorce</w:t>
      </w:r>
      <w:r w:rsidR="00C720BA">
        <w:rPr>
          <w:rFonts w:ascii="Times New Roman" w:hAnsi="Times New Roman" w:cs="Times New Roman"/>
          <w:sz w:val="24"/>
          <w:szCs w:val="24"/>
        </w:rPr>
        <w:t xml:space="preserve"> which probably explains why he was then cut out</w:t>
      </w:r>
      <w:r>
        <w:rPr>
          <w:rFonts w:ascii="Times New Roman" w:hAnsi="Times New Roman" w:cs="Times New Roman"/>
          <w:sz w:val="24"/>
          <w:szCs w:val="24"/>
        </w:rPr>
        <w:t xml:space="preserve">.  </w:t>
      </w:r>
    </w:p>
    <w:p w14:paraId="13854D32" w14:textId="459B53C6" w:rsidR="000F065C" w:rsidRDefault="000F065C"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Moores</w:t>
      </w:r>
      <w:proofErr w:type="spellEnd"/>
      <w:r>
        <w:rPr>
          <w:rFonts w:ascii="Times New Roman" w:hAnsi="Times New Roman" w:cs="Times New Roman"/>
          <w:sz w:val="24"/>
          <w:szCs w:val="24"/>
        </w:rPr>
        <w:t xml:space="preserve"> made various wills and codicils over the years leaving her estate to her children in various proportions or cutting one or other out.  In 2007 she made her last will of which clause 7 provided as follows:</w:t>
      </w:r>
    </w:p>
    <w:p w14:paraId="593A68E5" w14:textId="1D20904F" w:rsidR="000F065C" w:rsidRPr="00C720BA" w:rsidRDefault="000F065C" w:rsidP="00467D71">
      <w:pPr>
        <w:shd w:val="clear" w:color="auto" w:fill="FFFFFF"/>
        <w:spacing w:after="120" w:line="480" w:lineRule="auto"/>
        <w:ind w:left="360"/>
        <w:jc w:val="both"/>
        <w:rPr>
          <w:rFonts w:ascii="Times New Roman" w:hAnsi="Times New Roman" w:cs="Times New Roman"/>
          <w:i/>
          <w:iCs/>
          <w:sz w:val="24"/>
          <w:szCs w:val="24"/>
        </w:rPr>
      </w:pPr>
      <w:r w:rsidRPr="00C720BA">
        <w:rPr>
          <w:rFonts w:ascii="Times New Roman" w:hAnsi="Times New Roman" w:cs="Times New Roman"/>
          <w:i/>
          <w:iCs/>
          <w:sz w:val="24"/>
          <w:szCs w:val="24"/>
        </w:rPr>
        <w:t>“I LEAVE DEVISE AND BEQUEATH AND APPOINT the whole of my re</w:t>
      </w:r>
      <w:r w:rsidR="00A002CA" w:rsidRPr="00C720BA">
        <w:rPr>
          <w:rFonts w:ascii="Times New Roman" w:hAnsi="Times New Roman" w:cs="Times New Roman"/>
          <w:i/>
          <w:iCs/>
          <w:sz w:val="24"/>
          <w:szCs w:val="24"/>
        </w:rPr>
        <w:t xml:space="preserve">al estate and the rest residue and remainder of my personal estate wheresoever situate and of whatsoever kind of or to which I shall be </w:t>
      </w:r>
      <w:proofErr w:type="spellStart"/>
      <w:r w:rsidR="00A002CA" w:rsidRPr="00C720BA">
        <w:rPr>
          <w:rFonts w:ascii="Times New Roman" w:hAnsi="Times New Roman" w:cs="Times New Roman"/>
          <w:i/>
          <w:iCs/>
          <w:sz w:val="24"/>
          <w:szCs w:val="24"/>
        </w:rPr>
        <w:t>seised</w:t>
      </w:r>
      <w:proofErr w:type="spellEnd"/>
      <w:r w:rsidR="00A002CA" w:rsidRPr="00C720BA">
        <w:rPr>
          <w:rFonts w:ascii="Times New Roman" w:hAnsi="Times New Roman" w:cs="Times New Roman"/>
          <w:i/>
          <w:iCs/>
          <w:sz w:val="24"/>
          <w:szCs w:val="24"/>
        </w:rPr>
        <w:t xml:space="preserve"> possessed or entitled at the ate of my death or over which I shall have any power of testamentary disposition whatsoever…. Unto my children, PETER CHRISTIAN VELARDE, MATTHEW JULIAN VELARDE AND REBECCA VELARDE”. </w:t>
      </w:r>
    </w:p>
    <w:p w14:paraId="054CF680" w14:textId="09F83F74" w:rsidR="00A002CA" w:rsidRDefault="00A002CA"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question in the proceedings was whether clause 7 of the Will operated so as to revoke the 1997 Deed of Appointment and make a new appointment giving Matthew and equal share in the Patricia Trust Fund with Christian and Rebecca. </w:t>
      </w:r>
    </w:p>
    <w:p w14:paraId="13A7061B" w14:textId="68D0F2B6" w:rsidR="00A002CA" w:rsidRDefault="00A002CA"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Deputy Master Dray decided that, as a matter of con</w:t>
      </w:r>
      <w:r w:rsidR="00C720BA">
        <w:rPr>
          <w:rFonts w:ascii="Times New Roman" w:hAnsi="Times New Roman" w:cs="Times New Roman"/>
          <w:sz w:val="24"/>
          <w:szCs w:val="24"/>
        </w:rPr>
        <w:t>s</w:t>
      </w:r>
      <w:r>
        <w:rPr>
          <w:rFonts w:ascii="Times New Roman" w:hAnsi="Times New Roman" w:cs="Times New Roman"/>
          <w:sz w:val="24"/>
          <w:szCs w:val="24"/>
        </w:rPr>
        <w:t>tr</w:t>
      </w:r>
      <w:r w:rsidR="00C720BA">
        <w:rPr>
          <w:rFonts w:ascii="Times New Roman" w:hAnsi="Times New Roman" w:cs="Times New Roman"/>
          <w:sz w:val="24"/>
          <w:szCs w:val="24"/>
        </w:rPr>
        <w:t>uc</w:t>
      </w:r>
      <w:r>
        <w:rPr>
          <w:rFonts w:ascii="Times New Roman" w:hAnsi="Times New Roman" w:cs="Times New Roman"/>
          <w:sz w:val="24"/>
          <w:szCs w:val="24"/>
        </w:rPr>
        <w:t xml:space="preserve">tion of the terms of the 2007 will Mrs Moore’s intention was to revoke the 1997 appointment and make a new appointment in favour of the three children. </w:t>
      </w:r>
    </w:p>
    <w:p w14:paraId="2F49AA6D" w14:textId="4AC55105" w:rsidR="00A002CA" w:rsidRDefault="00A002CA"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He decided that the terms of the 2007 Will were ambiguous in the light of all the surrounding circumstances and that by reason of section 19 of the Isle of Man Wills Act 1985 which is in the same from as section 21 of the Administration of Justice Act1982 he was entitled to consider extrinsic evidence  and having done so he fo</w:t>
      </w:r>
      <w:r w:rsidR="009F3409">
        <w:rPr>
          <w:rFonts w:ascii="Times New Roman" w:hAnsi="Times New Roman" w:cs="Times New Roman"/>
          <w:sz w:val="24"/>
          <w:szCs w:val="24"/>
        </w:rPr>
        <w:t>u</w:t>
      </w:r>
      <w:r>
        <w:rPr>
          <w:rFonts w:ascii="Times New Roman" w:hAnsi="Times New Roman" w:cs="Times New Roman"/>
          <w:sz w:val="24"/>
          <w:szCs w:val="24"/>
        </w:rPr>
        <w:t xml:space="preserve">nd, that so far as it helped at all, it supported his finding in </w:t>
      </w:r>
      <w:r w:rsidR="009F3409">
        <w:rPr>
          <w:rFonts w:ascii="Times New Roman" w:hAnsi="Times New Roman" w:cs="Times New Roman"/>
          <w:sz w:val="24"/>
          <w:szCs w:val="24"/>
        </w:rPr>
        <w:t>r</w:t>
      </w:r>
      <w:r>
        <w:rPr>
          <w:rFonts w:ascii="Times New Roman" w:hAnsi="Times New Roman" w:cs="Times New Roman"/>
          <w:sz w:val="24"/>
          <w:szCs w:val="24"/>
        </w:rPr>
        <w:t>elatio</w:t>
      </w:r>
      <w:r w:rsidR="009F3409">
        <w:rPr>
          <w:rFonts w:ascii="Times New Roman" w:hAnsi="Times New Roman" w:cs="Times New Roman"/>
          <w:sz w:val="24"/>
          <w:szCs w:val="24"/>
        </w:rPr>
        <w:t>n</w:t>
      </w:r>
      <w:r>
        <w:rPr>
          <w:rFonts w:ascii="Times New Roman" w:hAnsi="Times New Roman" w:cs="Times New Roman"/>
          <w:sz w:val="24"/>
          <w:szCs w:val="24"/>
        </w:rPr>
        <w:t xml:space="preserve"> to intention</w:t>
      </w:r>
      <w:r w:rsidR="009F3409">
        <w:rPr>
          <w:rFonts w:ascii="Times New Roman" w:hAnsi="Times New Roman" w:cs="Times New Roman"/>
          <w:sz w:val="24"/>
          <w:szCs w:val="24"/>
        </w:rPr>
        <w:t xml:space="preserve">. </w:t>
      </w:r>
    </w:p>
    <w:p w14:paraId="53A9ACD4" w14:textId="23CE4456" w:rsidR="00142D7A" w:rsidRDefault="009F3409"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It was clear that the 1997  appointment could be revoked by Will or codicil.  The Deputy Master took into account that when she executed her 2007 Will Mrs </w:t>
      </w:r>
      <w:proofErr w:type="spellStart"/>
      <w:r>
        <w:rPr>
          <w:rFonts w:ascii="Times New Roman" w:hAnsi="Times New Roman" w:cs="Times New Roman"/>
          <w:sz w:val="24"/>
          <w:szCs w:val="24"/>
        </w:rPr>
        <w:t>Moores</w:t>
      </w:r>
      <w:proofErr w:type="spellEnd"/>
      <w:r>
        <w:rPr>
          <w:rFonts w:ascii="Times New Roman" w:hAnsi="Times New Roman" w:cs="Times New Roman"/>
          <w:sz w:val="24"/>
          <w:szCs w:val="24"/>
        </w:rPr>
        <w:t xml:space="preserve"> was aware of </w:t>
      </w:r>
      <w:r>
        <w:rPr>
          <w:rFonts w:ascii="Times New Roman" w:hAnsi="Times New Roman" w:cs="Times New Roman"/>
          <w:sz w:val="24"/>
          <w:szCs w:val="24"/>
        </w:rPr>
        <w:lastRenderedPageBreak/>
        <w:t xml:space="preserve">the 1949 Settlement and her powers of revocation and appointment under it. She had no other similar powers vested in her.  The reference to Appointment in clause 7 and to any property over which she had any power of testamentary disposition whatever evidence an intention to exercise a power of appointment.  That intention would not be given any effect without the associated revocation of the 1997 Deed of Appointment. </w:t>
      </w:r>
    </w:p>
    <w:p w14:paraId="3B206D09" w14:textId="0E126B54" w:rsidR="009F3409" w:rsidRDefault="009F3409"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Notwithstanding this clear conclusion the Deputy Master considered the words of clause 7 were ambiguous entitling him to look at extrinsic evidence, in effect to check his reasoning. </w:t>
      </w:r>
    </w:p>
    <w:p w14:paraId="73AC25EB" w14:textId="187F4325" w:rsidR="009F3409" w:rsidRDefault="009F3409"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Christian appealed the decision and Penelope Reed QC acted for him both before the Deputy Master and on appeal. </w:t>
      </w:r>
    </w:p>
    <w:p w14:paraId="6F377343" w14:textId="0F581128" w:rsidR="00571AB0" w:rsidRDefault="00D64E64"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The main bone of contention appears to have been over the Deputy Master’s finding that if a testamentary gift frame</w:t>
      </w:r>
      <w:r w:rsidR="00C720BA">
        <w:rPr>
          <w:rFonts w:ascii="Times New Roman" w:hAnsi="Times New Roman" w:cs="Times New Roman"/>
          <w:sz w:val="24"/>
          <w:szCs w:val="24"/>
        </w:rPr>
        <w:t>d</w:t>
      </w:r>
      <w:r>
        <w:rPr>
          <w:rFonts w:ascii="Times New Roman" w:hAnsi="Times New Roman" w:cs="Times New Roman"/>
          <w:sz w:val="24"/>
          <w:szCs w:val="24"/>
        </w:rPr>
        <w:t xml:space="preserve"> in a particular way would fail unless construed as entailing the exercise of a power of revocation (so as to bring within the ambit of the will the property which is the subject matter of the power) the instrument will be take as the exercise of the power.  </w:t>
      </w:r>
    </w:p>
    <w:p w14:paraId="327374B4" w14:textId="5D64E521" w:rsidR="00D64E64" w:rsidRDefault="00D64E64"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Deputy Master described what he saw as a general trend apparent from the authorities against a conclusion which would render aspects of a Will redundant. </w:t>
      </w:r>
    </w:p>
    <w:p w14:paraId="02B717CE" w14:textId="4096D411" w:rsidR="00D64E64" w:rsidRDefault="00D64E64"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It was accepted that in order for there to be a revocation and intention to revoke must be shown. The easiest way to s</w:t>
      </w:r>
      <w:r w:rsidR="00C720BA">
        <w:rPr>
          <w:rFonts w:ascii="Times New Roman" w:hAnsi="Times New Roman" w:cs="Times New Roman"/>
          <w:sz w:val="24"/>
          <w:szCs w:val="24"/>
        </w:rPr>
        <w:t>h</w:t>
      </w:r>
      <w:r>
        <w:rPr>
          <w:rFonts w:ascii="Times New Roman" w:hAnsi="Times New Roman" w:cs="Times New Roman"/>
          <w:sz w:val="24"/>
          <w:szCs w:val="24"/>
        </w:rPr>
        <w:t xml:space="preserve">ow such an intention is to use express words of revocation but in this case there were none.  This does not mean that there was no revocation. </w:t>
      </w:r>
    </w:p>
    <w:p w14:paraId="29F255C0" w14:textId="597739FD" w:rsidR="00D64E64" w:rsidRDefault="00D64E64"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Deputy Judge on appeal did not agree with the breadth of the principle which the Deputy Master arrived at and said that the authorities </w:t>
      </w:r>
      <w:r w:rsidRPr="00C720BA">
        <w:rPr>
          <w:rFonts w:ascii="Times New Roman" w:hAnsi="Times New Roman" w:cs="Times New Roman"/>
          <w:i/>
          <w:iCs/>
          <w:sz w:val="24"/>
          <w:szCs w:val="24"/>
        </w:rPr>
        <w:t>“support a more limited proposition, namely that a revocation will be implied if the words used in the Will, viewed in context , demonstrate an intention on the part of the testator or testatrix to make a gift or to exercise a power of appointment which can only take place if a prior appointment is revoked</w:t>
      </w:r>
      <w:r w:rsidR="00047FA4" w:rsidRPr="00C720BA">
        <w:rPr>
          <w:rFonts w:ascii="Times New Roman" w:hAnsi="Times New Roman" w:cs="Times New Roman"/>
          <w:i/>
          <w:iCs/>
          <w:sz w:val="24"/>
          <w:szCs w:val="24"/>
        </w:rPr>
        <w:t>.”</w:t>
      </w:r>
      <w:r>
        <w:rPr>
          <w:rFonts w:ascii="Times New Roman" w:hAnsi="Times New Roman" w:cs="Times New Roman"/>
          <w:sz w:val="24"/>
          <w:szCs w:val="24"/>
        </w:rPr>
        <w:t xml:space="preserve"> </w:t>
      </w:r>
      <w:r w:rsidR="00047FA4">
        <w:rPr>
          <w:rFonts w:ascii="Times New Roman" w:hAnsi="Times New Roman" w:cs="Times New Roman"/>
          <w:sz w:val="24"/>
          <w:szCs w:val="24"/>
        </w:rPr>
        <w:t xml:space="preserve"> As </w:t>
      </w:r>
      <w:r w:rsidR="00047FA4">
        <w:rPr>
          <w:rFonts w:ascii="Times New Roman" w:hAnsi="Times New Roman" w:cs="Times New Roman"/>
          <w:sz w:val="24"/>
          <w:szCs w:val="24"/>
        </w:rPr>
        <w:lastRenderedPageBreak/>
        <w:t xml:space="preserve">set out in the earlier cases of </w:t>
      </w:r>
      <w:r w:rsidR="00047FA4" w:rsidRPr="00C720BA">
        <w:rPr>
          <w:rFonts w:ascii="Times New Roman" w:hAnsi="Times New Roman" w:cs="Times New Roman"/>
          <w:b/>
          <w:bCs/>
          <w:sz w:val="24"/>
          <w:szCs w:val="24"/>
        </w:rPr>
        <w:t>Pomfret v Perring</w:t>
      </w:r>
      <w:r w:rsidR="00C720BA">
        <w:rPr>
          <w:rFonts w:ascii="Times New Roman" w:hAnsi="Times New Roman" w:cs="Times New Roman"/>
          <w:b/>
          <w:bCs/>
          <w:sz w:val="24"/>
          <w:szCs w:val="24"/>
        </w:rPr>
        <w:t xml:space="preserve"> </w:t>
      </w:r>
      <w:r w:rsidR="00C720BA">
        <w:rPr>
          <w:rFonts w:ascii="Times New Roman" w:hAnsi="Times New Roman" w:cs="Times New Roman"/>
          <w:sz w:val="24"/>
          <w:szCs w:val="24"/>
        </w:rPr>
        <w:t>43 ER 1071</w:t>
      </w:r>
      <w:r w:rsidR="00047FA4" w:rsidRPr="00C720BA">
        <w:rPr>
          <w:rFonts w:ascii="Times New Roman" w:hAnsi="Times New Roman" w:cs="Times New Roman"/>
          <w:b/>
          <w:bCs/>
          <w:sz w:val="24"/>
          <w:szCs w:val="24"/>
        </w:rPr>
        <w:t>, In re Brace</w:t>
      </w:r>
      <w:r w:rsidR="00C720BA">
        <w:rPr>
          <w:rFonts w:ascii="Times New Roman" w:hAnsi="Times New Roman" w:cs="Times New Roman"/>
          <w:sz w:val="24"/>
          <w:szCs w:val="24"/>
        </w:rPr>
        <w:t xml:space="preserve"> [1891] 2 Ch 671</w:t>
      </w:r>
      <w:r w:rsidR="00047FA4" w:rsidRPr="00C720BA">
        <w:rPr>
          <w:rFonts w:ascii="Times New Roman" w:hAnsi="Times New Roman" w:cs="Times New Roman"/>
          <w:b/>
          <w:bCs/>
          <w:sz w:val="24"/>
          <w:szCs w:val="24"/>
        </w:rPr>
        <w:t xml:space="preserve"> and In re </w:t>
      </w:r>
      <w:proofErr w:type="spellStart"/>
      <w:r w:rsidR="00047FA4" w:rsidRPr="00C720BA">
        <w:rPr>
          <w:rFonts w:ascii="Times New Roman" w:hAnsi="Times New Roman" w:cs="Times New Roman"/>
          <w:b/>
          <w:bCs/>
          <w:sz w:val="24"/>
          <w:szCs w:val="24"/>
        </w:rPr>
        <w:t>Thursby’s</w:t>
      </w:r>
      <w:proofErr w:type="spellEnd"/>
      <w:r w:rsidR="00047FA4" w:rsidRPr="00C720BA">
        <w:rPr>
          <w:rFonts w:ascii="Times New Roman" w:hAnsi="Times New Roman" w:cs="Times New Roman"/>
          <w:b/>
          <w:bCs/>
          <w:sz w:val="24"/>
          <w:szCs w:val="24"/>
        </w:rPr>
        <w:t xml:space="preserve"> Settlement</w:t>
      </w:r>
      <w:r w:rsidR="00C720BA">
        <w:rPr>
          <w:rFonts w:ascii="Times New Roman" w:hAnsi="Times New Roman" w:cs="Times New Roman"/>
          <w:sz w:val="24"/>
          <w:szCs w:val="24"/>
        </w:rPr>
        <w:t xml:space="preserve"> [1910] 2 Ch 181</w:t>
      </w:r>
      <w:r w:rsidR="00047FA4">
        <w:rPr>
          <w:rFonts w:ascii="Times New Roman" w:hAnsi="Times New Roman" w:cs="Times New Roman"/>
          <w:sz w:val="24"/>
          <w:szCs w:val="24"/>
        </w:rPr>
        <w:t xml:space="preserve"> a revocation should only be implied if it is necessary to do so to give effect to the clear intention of the testator  or testatrix. </w:t>
      </w:r>
    </w:p>
    <w:p w14:paraId="76F371A0" w14:textId="1E61344E" w:rsidR="00047FA4" w:rsidRDefault="00C720BA"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Judge in </w:t>
      </w:r>
      <w:r w:rsidRPr="00143D0F">
        <w:rPr>
          <w:rFonts w:ascii="Times New Roman" w:hAnsi="Times New Roman" w:cs="Times New Roman"/>
          <w:b/>
          <w:bCs/>
          <w:sz w:val="24"/>
          <w:szCs w:val="24"/>
        </w:rPr>
        <w:t>Pomfret v Perring</w:t>
      </w:r>
      <w:r>
        <w:rPr>
          <w:rFonts w:ascii="Times New Roman" w:hAnsi="Times New Roman" w:cs="Times New Roman"/>
          <w:sz w:val="24"/>
          <w:szCs w:val="24"/>
        </w:rPr>
        <w:t xml:space="preserve"> stated that i</w:t>
      </w:r>
      <w:r w:rsidR="00047FA4">
        <w:rPr>
          <w:rFonts w:ascii="Times New Roman" w:hAnsi="Times New Roman" w:cs="Times New Roman"/>
          <w:sz w:val="24"/>
          <w:szCs w:val="24"/>
        </w:rPr>
        <w:t xml:space="preserve">f a testator has more than one power of appointment then  a revocation cannot be implied from general words of revocation in the instrument </w:t>
      </w:r>
      <w:r>
        <w:rPr>
          <w:rFonts w:ascii="Times New Roman" w:hAnsi="Times New Roman" w:cs="Times New Roman"/>
          <w:sz w:val="24"/>
          <w:szCs w:val="24"/>
        </w:rPr>
        <w:t>.</w:t>
      </w:r>
      <w:r w:rsidR="00047FA4">
        <w:rPr>
          <w:rFonts w:ascii="Times New Roman" w:hAnsi="Times New Roman" w:cs="Times New Roman"/>
          <w:sz w:val="24"/>
          <w:szCs w:val="24"/>
        </w:rPr>
        <w:t xml:space="preserve">  In cases where the testator has only one power of appointment, as in this case, general words of appointment will be sufficient to imply a revocation of the prior appointment and the exercise of a power to make a new appointment.  Those comments were, however, obiter and the Deputy Judge concluded that it was not always the case in one power cases that general words would be regarded as involving the necessary implication of a revocation and the exercise of the power to make a new appointment.  The better view is that the question depends on the words used and their context. </w:t>
      </w:r>
    </w:p>
    <w:p w14:paraId="4961D702" w14:textId="39F59BA7" w:rsidR="00467D71" w:rsidRDefault="00047FA4"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As a result the Deputy Judge considered it was necessary to determ</w:t>
      </w:r>
      <w:r w:rsidR="00467D71">
        <w:rPr>
          <w:rFonts w:ascii="Times New Roman" w:hAnsi="Times New Roman" w:cs="Times New Roman"/>
          <w:sz w:val="24"/>
          <w:szCs w:val="24"/>
        </w:rPr>
        <w:t>i</w:t>
      </w:r>
      <w:r>
        <w:rPr>
          <w:rFonts w:ascii="Times New Roman" w:hAnsi="Times New Roman" w:cs="Times New Roman"/>
          <w:sz w:val="24"/>
          <w:szCs w:val="24"/>
        </w:rPr>
        <w:t>ne</w:t>
      </w:r>
      <w:r w:rsidR="00467D71">
        <w:rPr>
          <w:rFonts w:ascii="Times New Roman" w:hAnsi="Times New Roman" w:cs="Times New Roman"/>
          <w:sz w:val="24"/>
          <w:szCs w:val="24"/>
        </w:rPr>
        <w:t xml:space="preserve"> whether the general words reflect a testamentary intention to make the gift in question.   That could only be judged by viewing the words in the context of the circumstances of the case. </w:t>
      </w:r>
      <w:r>
        <w:rPr>
          <w:rFonts w:ascii="Times New Roman" w:hAnsi="Times New Roman" w:cs="Times New Roman"/>
          <w:sz w:val="24"/>
          <w:szCs w:val="24"/>
        </w:rPr>
        <w:t xml:space="preserve"> </w:t>
      </w:r>
      <w:r w:rsidR="00467D71">
        <w:rPr>
          <w:rFonts w:ascii="Times New Roman" w:hAnsi="Times New Roman" w:cs="Times New Roman"/>
          <w:sz w:val="24"/>
          <w:szCs w:val="24"/>
        </w:rPr>
        <w:t>In some cases a residuary gift would be simply that with sweeping up provisions to cover assets not otherwise dealt with by a will or a prior appointment with no intention to displace previously made appointments</w:t>
      </w:r>
    </w:p>
    <w:p w14:paraId="12E5A11C" w14:textId="316FE27F" w:rsidR="00047FA4" w:rsidRDefault="00467D71"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Having considered the grounds of appeal against the surrounding circumstances the Deputy Judge dismissed the appeal. </w:t>
      </w:r>
    </w:p>
    <w:p w14:paraId="60F5C7A8" w14:textId="53968817" w:rsidR="00C720BA" w:rsidRDefault="00C720BA"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Helen Galley</w:t>
      </w:r>
    </w:p>
    <w:p w14:paraId="50EFC4FA" w14:textId="196496DF" w:rsidR="00C720BA" w:rsidRDefault="00C720BA" w:rsidP="00467D71">
      <w:pPr>
        <w:shd w:val="clear" w:color="auto" w:fill="FFFFFF"/>
        <w:spacing w:after="120" w:line="480" w:lineRule="auto"/>
        <w:ind w:left="360"/>
        <w:jc w:val="both"/>
        <w:rPr>
          <w:rFonts w:ascii="Times New Roman" w:hAnsi="Times New Roman" w:cs="Times New Roman"/>
          <w:sz w:val="24"/>
          <w:szCs w:val="24"/>
        </w:rPr>
      </w:pPr>
    </w:p>
    <w:p w14:paraId="42FC99A4" w14:textId="36F07B35" w:rsidR="00C720BA" w:rsidRDefault="00C720BA" w:rsidP="00467D71">
      <w:pPr>
        <w:shd w:val="clear" w:color="auto" w:fill="FFFFFF"/>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XXIV Old Buildings</w:t>
      </w:r>
    </w:p>
    <w:p w14:paraId="42B3761F" w14:textId="0424B435" w:rsidR="00C720BA" w:rsidRPr="00231E97" w:rsidRDefault="00C720BA" w:rsidP="00467D71">
      <w:pPr>
        <w:shd w:val="clear" w:color="auto" w:fill="FFFFFF"/>
        <w:spacing w:after="120" w:line="480" w:lineRule="auto"/>
        <w:ind w:left="360"/>
        <w:jc w:val="both"/>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70DF">
        <w:rPr>
          <w:rFonts w:ascii="Times New Roman" w:hAnsi="Times New Roman" w:cs="Times New Roman"/>
          <w:sz w:val="24"/>
          <w:szCs w:val="24"/>
        </w:rPr>
        <w:t>11 May</w:t>
      </w:r>
      <w:r>
        <w:rPr>
          <w:rFonts w:ascii="Times New Roman" w:hAnsi="Times New Roman" w:cs="Times New Roman"/>
          <w:sz w:val="24"/>
          <w:szCs w:val="24"/>
        </w:rPr>
        <w:t xml:space="preserve"> 2022</w:t>
      </w:r>
    </w:p>
    <w:p w14:paraId="0BF2F9B4" w14:textId="77777777" w:rsidR="00242E67" w:rsidRDefault="00242E67" w:rsidP="006C70DF">
      <w:pPr>
        <w:shd w:val="clear" w:color="auto" w:fill="FFFFFF"/>
        <w:spacing w:after="120" w:line="360" w:lineRule="atLeast"/>
        <w:jc w:val="both"/>
        <w:rPr>
          <w:rFonts w:ascii="Times New Roman" w:eastAsia="Times New Roman" w:hAnsi="Times New Roman" w:cs="Times New Roman"/>
          <w:color w:val="000000"/>
          <w:sz w:val="24"/>
          <w:szCs w:val="24"/>
          <w:lang w:eastAsia="en-GB"/>
        </w:rPr>
      </w:pPr>
    </w:p>
    <w:p w14:paraId="0C8DA0A3" w14:textId="77777777" w:rsidR="00242E67" w:rsidRPr="006C70DF" w:rsidRDefault="00242E67" w:rsidP="006C70DF">
      <w:pPr>
        <w:shd w:val="clear" w:color="auto" w:fill="FFFFFF"/>
        <w:spacing w:after="120" w:line="360" w:lineRule="atLeast"/>
        <w:jc w:val="both"/>
      </w:pPr>
    </w:p>
    <w:sectPr w:rsidR="00242E67" w:rsidRPr="006C7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55D34"/>
    <w:multiLevelType w:val="hybridMultilevel"/>
    <w:tmpl w:val="E7C65652"/>
    <w:lvl w:ilvl="0" w:tplc="175A5E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5B"/>
    <w:rsid w:val="00047FA4"/>
    <w:rsid w:val="0006705A"/>
    <w:rsid w:val="000C0969"/>
    <w:rsid w:val="000F065C"/>
    <w:rsid w:val="00110D80"/>
    <w:rsid w:val="00126F98"/>
    <w:rsid w:val="00142D7A"/>
    <w:rsid w:val="00143D0F"/>
    <w:rsid w:val="00231E97"/>
    <w:rsid w:val="00235FC8"/>
    <w:rsid w:val="00242E67"/>
    <w:rsid w:val="00253147"/>
    <w:rsid w:val="003D087D"/>
    <w:rsid w:val="003D7C8F"/>
    <w:rsid w:val="004051E1"/>
    <w:rsid w:val="00467D71"/>
    <w:rsid w:val="004A70DF"/>
    <w:rsid w:val="00564908"/>
    <w:rsid w:val="00571AB0"/>
    <w:rsid w:val="00632D10"/>
    <w:rsid w:val="006619CE"/>
    <w:rsid w:val="00675534"/>
    <w:rsid w:val="006867EE"/>
    <w:rsid w:val="006C70DF"/>
    <w:rsid w:val="00793B11"/>
    <w:rsid w:val="0082005B"/>
    <w:rsid w:val="0085107E"/>
    <w:rsid w:val="008F4680"/>
    <w:rsid w:val="0092130C"/>
    <w:rsid w:val="009424F5"/>
    <w:rsid w:val="00954FDB"/>
    <w:rsid w:val="00991950"/>
    <w:rsid w:val="009F3409"/>
    <w:rsid w:val="00A002CA"/>
    <w:rsid w:val="00B1492C"/>
    <w:rsid w:val="00B72591"/>
    <w:rsid w:val="00B84000"/>
    <w:rsid w:val="00BE3198"/>
    <w:rsid w:val="00C720BA"/>
    <w:rsid w:val="00C8475B"/>
    <w:rsid w:val="00CE0914"/>
    <w:rsid w:val="00D061BF"/>
    <w:rsid w:val="00D123F5"/>
    <w:rsid w:val="00D447D2"/>
    <w:rsid w:val="00D64E64"/>
    <w:rsid w:val="00D672D9"/>
    <w:rsid w:val="00E56A12"/>
    <w:rsid w:val="00ED037C"/>
    <w:rsid w:val="00F9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47F3"/>
  <w15:chartTrackingRefBased/>
  <w15:docId w15:val="{F4CCCFFD-1123-44D7-94A8-97BCEC6F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969"/>
    <w:rPr>
      <w:rFonts w:asciiTheme="minorHAnsi" w:hAnsiTheme="minorHAnsi" w:cstheme="minorBidi"/>
      <w:sz w:val="22"/>
      <w:szCs w:val="22"/>
    </w:rPr>
  </w:style>
  <w:style w:type="paragraph" w:styleId="Heading2">
    <w:name w:val="heading 2"/>
    <w:basedOn w:val="Normal"/>
    <w:next w:val="Normal"/>
    <w:link w:val="Heading2Char"/>
    <w:uiPriority w:val="9"/>
    <w:semiHidden/>
    <w:unhideWhenUsed/>
    <w:qFormat/>
    <w:rsid w:val="00F973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9733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4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7D2"/>
    <w:rPr>
      <w:rFonts w:ascii="Segoe UI" w:hAnsi="Segoe UI" w:cs="Segoe UI"/>
      <w:sz w:val="18"/>
      <w:szCs w:val="18"/>
    </w:rPr>
  </w:style>
  <w:style w:type="paragraph" w:styleId="ListParagraph">
    <w:name w:val="List Paragraph"/>
    <w:basedOn w:val="Normal"/>
    <w:uiPriority w:val="34"/>
    <w:qFormat/>
    <w:rsid w:val="00B84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79987">
      <w:bodyDiv w:val="1"/>
      <w:marLeft w:val="0"/>
      <w:marRight w:val="0"/>
      <w:marTop w:val="0"/>
      <w:marBottom w:val="0"/>
      <w:divBdr>
        <w:top w:val="none" w:sz="0" w:space="0" w:color="auto"/>
        <w:left w:val="none" w:sz="0" w:space="0" w:color="auto"/>
        <w:bottom w:val="none" w:sz="0" w:space="0" w:color="auto"/>
        <w:right w:val="none" w:sz="0" w:space="0" w:color="auto"/>
      </w:divBdr>
    </w:div>
    <w:div w:id="11514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20</Pages>
  <Words>5345</Words>
  <Characters>30468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XXIV</Company>
  <LinksUpToDate>false</LinksUpToDate>
  <CharactersWithSpaces>35742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Galley</dc:creator>
  <cp:keywords/>
  <dc:description/>
  <cp:lastModifiedBy>Helen Galley</cp:lastModifiedBy>
  <cp:revision>8</cp:revision>
  <dcterms:created xsi:type="dcterms:W3CDTF">2022-02-16T10:17:00Z</dcterms:created>
  <dcterms:modified xsi:type="dcterms:W3CDTF">2022-05-11T11:25:00Z</dcterms:modified>
</cp:coreProperties>
</file>